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AC39F7">
      <w:pPr>
        <w:keepNext/>
        <w:widowControl w:val="0"/>
        <w:spacing w:line="360" w:lineRule="auto"/>
        <w:jc w:val="center"/>
        <w:outlineLvl w:val="0"/>
        <w:rPr>
          <w:rFonts w:ascii="宋体" w:hAnsi="宋体" w:eastAsia="宋体" w:cs="宋体"/>
          <w:color w:val="000000"/>
          <w:kern w:val="0"/>
          <w:sz w:val="27"/>
          <w:szCs w:val="27"/>
          <w:u w:val="single"/>
          <w:lang w:val="en-US" w:eastAsia="zh-CN" w:bidi="ar-SA"/>
        </w:rPr>
      </w:pPr>
      <w:bookmarkStart w:id="2" w:name="_GoBack"/>
      <w:r>
        <w:rPr>
          <w:rFonts w:hint="eastAsia" w:ascii="宋体" w:hAnsi="宋体" w:eastAsia="宋体" w:cs="宋体"/>
          <w:b/>
          <w:bCs/>
          <w:color w:val="000000"/>
          <w:kern w:val="2"/>
          <w:sz w:val="32"/>
          <w:lang w:val="en-US" w:eastAsia="zh-CN" w:bidi="ar-SA"/>
        </w:rPr>
        <w:t>采购需求及商务要求</w:t>
      </w:r>
    </w:p>
    <w:bookmarkEnd w:id="2"/>
    <w:p w14:paraId="0995C5A1">
      <w:pPr>
        <w:tabs>
          <w:tab w:val="left" w:pos="4200"/>
        </w:tabs>
        <w:rPr>
          <w:rFonts w:ascii="宋体" w:hAnsi="宋体" w:cs="宋体"/>
        </w:rPr>
      </w:pPr>
    </w:p>
    <w:p w14:paraId="4AA91978">
      <w:pPr>
        <w:keepNext/>
        <w:keepLines/>
        <w:widowControl w:val="0"/>
        <w:numPr>
          <w:ilvl w:val="0"/>
          <w:numId w:val="1"/>
        </w:numPr>
        <w:spacing w:before="0" w:after="0" w:line="360" w:lineRule="auto"/>
        <w:ind w:left="-13" w:leftChars="0" w:firstLine="3373" w:firstLineChars="0"/>
        <w:jc w:val="both"/>
        <w:outlineLvl w:val="1"/>
        <w:rPr>
          <w:rFonts w:hint="eastAsia" w:ascii="宋体" w:hAnsi="宋体" w:eastAsia="宋体" w:cs="宋体"/>
          <w:b/>
          <w:bCs/>
          <w:color w:val="000000"/>
          <w:kern w:val="2"/>
          <w:sz w:val="28"/>
          <w:szCs w:val="28"/>
          <w:highlight w:val="none"/>
          <w:lang w:val="en-US" w:eastAsia="zh-CN" w:bidi="ar-SA"/>
        </w:rPr>
      </w:pPr>
      <w:bookmarkStart w:id="0" w:name="_Toc12549"/>
      <w:r>
        <w:rPr>
          <w:rFonts w:hint="eastAsia" w:ascii="宋体" w:hAnsi="宋体" w:eastAsia="宋体" w:cs="宋体"/>
          <w:b/>
          <w:bCs/>
          <w:color w:val="000000"/>
          <w:kern w:val="2"/>
          <w:sz w:val="28"/>
          <w:szCs w:val="28"/>
          <w:highlight w:val="none"/>
          <w:lang w:val="en-US" w:eastAsia="zh-CN" w:bidi="ar-SA"/>
        </w:rPr>
        <w:t>技术需求</w:t>
      </w:r>
      <w:bookmarkEnd w:id="0"/>
    </w:p>
    <w:p w14:paraId="6AE08F11">
      <w:pPr>
        <w:widowControl/>
        <w:ind w:firstLine="3600" w:firstLineChars="1500"/>
        <w:jc w:val="left"/>
        <w:rPr>
          <w:rFonts w:hint="eastAsia" w:ascii="宋体" w:hAnsi="宋体" w:eastAsia="宋体" w:cs="宋体"/>
          <w:kern w:val="0"/>
          <w:sz w:val="24"/>
          <w:szCs w:val="24"/>
        </w:rPr>
      </w:pPr>
      <w:r>
        <w:rPr>
          <w:rFonts w:hint="eastAsia" w:ascii="宋体" w:hAnsi="宋体" w:eastAsia="宋体" w:cs="宋体"/>
          <w:kern w:val="0"/>
          <w:sz w:val="24"/>
          <w:szCs w:val="24"/>
        </w:rPr>
        <w:t>采购明细清单</w:t>
      </w:r>
    </w:p>
    <w:tbl>
      <w:tblPr>
        <w:tblStyle w:val="6"/>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37"/>
        <w:gridCol w:w="1141"/>
        <w:gridCol w:w="7197"/>
        <w:gridCol w:w="438"/>
        <w:gridCol w:w="547"/>
      </w:tblGrid>
      <w:tr w14:paraId="0FE7FB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B4F9A0">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689979">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DEC9CB">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参数/规格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3CB56F">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100AF6">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数量</w:t>
            </w:r>
          </w:p>
        </w:tc>
      </w:tr>
      <w:tr w14:paraId="71569E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8"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BE63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 xml:space="preserve">户内LED全彩屏  </w:t>
            </w:r>
          </w:p>
        </w:tc>
      </w:tr>
      <w:tr w14:paraId="017EBD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63F9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AE19F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室内全彩LED显示屏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7818F4D6">
            <w:pPr>
              <w:keepNext w:val="0"/>
              <w:keepLines w:val="0"/>
              <w:widowControl/>
              <w:suppressLineNumbers w:val="0"/>
              <w:jc w:val="left"/>
              <w:textAlignment w:val="top"/>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像素封装SMD1515   </w:t>
            </w:r>
          </w:p>
          <w:p w14:paraId="1EC11BBF">
            <w:pPr>
              <w:keepNext w:val="0"/>
              <w:keepLines w:val="0"/>
              <w:widowControl/>
              <w:suppressLineNumbers w:val="0"/>
              <w:jc w:val="left"/>
              <w:textAlignment w:val="top"/>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像素间距2mm  </w:t>
            </w:r>
          </w:p>
          <w:p w14:paraId="0140553B">
            <w:pPr>
              <w:keepNext w:val="0"/>
              <w:keepLines w:val="0"/>
              <w:widowControl/>
              <w:suppressLineNumbers w:val="0"/>
              <w:jc w:val="left"/>
              <w:textAlignment w:val="top"/>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像素密度250000dot/m2  </w:t>
            </w:r>
          </w:p>
          <w:p w14:paraId="56A5150D">
            <w:pPr>
              <w:keepNext w:val="0"/>
              <w:keepLines w:val="0"/>
              <w:widowControl/>
              <w:suppressLineNumbers w:val="0"/>
              <w:jc w:val="left"/>
              <w:textAlignment w:val="top"/>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模组分辨率（W×H）160x80=12800±3%pixels  </w:t>
            </w:r>
          </w:p>
          <w:p w14:paraId="7212768E">
            <w:pPr>
              <w:keepNext w:val="0"/>
              <w:keepLines w:val="0"/>
              <w:widowControl/>
              <w:suppressLineNumbers w:val="0"/>
              <w:jc w:val="left"/>
              <w:textAlignment w:val="top"/>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模组参数驱动ICPWM  接口定义HUB75  </w:t>
            </w:r>
          </w:p>
          <w:p w14:paraId="04EBE76C">
            <w:pPr>
              <w:keepNext w:val="0"/>
              <w:keepLines w:val="0"/>
              <w:widowControl/>
              <w:suppressLineNumbers w:val="0"/>
              <w:jc w:val="left"/>
              <w:textAlignment w:val="top"/>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模组尺寸（mm）±3%：320mm×160mm×16.7mm</w:t>
            </w:r>
          </w:p>
          <w:p w14:paraId="6A1EC8CD">
            <w:pPr>
              <w:keepNext w:val="0"/>
              <w:keepLines w:val="0"/>
              <w:widowControl/>
              <w:suppressLineNumbers w:val="0"/>
              <w:jc w:val="left"/>
              <w:textAlignment w:val="top"/>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单点色度校正支持  单点亮度校正支持  </w:t>
            </w:r>
          </w:p>
          <w:p w14:paraId="46C6AFAD">
            <w:pPr>
              <w:keepNext w:val="0"/>
              <w:keepLines w:val="0"/>
              <w:widowControl/>
              <w:suppressLineNumbers w:val="0"/>
              <w:jc w:val="left"/>
              <w:textAlignment w:val="top"/>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白平衡亮度±3%450cd/m2  </w:t>
            </w:r>
          </w:p>
          <w:p w14:paraId="268B1352">
            <w:pPr>
              <w:keepNext w:val="0"/>
              <w:keepLines w:val="0"/>
              <w:widowControl/>
              <w:suppressLineNumbers w:val="0"/>
              <w:jc w:val="left"/>
              <w:textAlignment w:val="top"/>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光学参数标准色温（K）±3% 2000K～9300K可调   </w:t>
            </w:r>
          </w:p>
          <w:p w14:paraId="0AED44CB">
            <w:pPr>
              <w:keepNext w:val="0"/>
              <w:keepLines w:val="0"/>
              <w:widowControl/>
              <w:suppressLineNumbers w:val="0"/>
              <w:jc w:val="left"/>
              <w:textAlignment w:val="top"/>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视角（水平/垂直°）160°/140°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亮度/色度均匀性≥98%  </w:t>
            </w:r>
          </w:p>
          <w:p w14:paraId="763E9210">
            <w:pPr>
              <w:keepNext w:val="0"/>
              <w:keepLines w:val="0"/>
              <w:widowControl/>
              <w:suppressLineNumbers w:val="0"/>
              <w:jc w:val="left"/>
              <w:textAlignment w:val="top"/>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对比度5000:1  </w:t>
            </w:r>
          </w:p>
          <w:p w14:paraId="3B56C048">
            <w:pPr>
              <w:keepNext w:val="0"/>
              <w:keepLines w:val="0"/>
              <w:widowControl/>
              <w:suppressLineNumbers w:val="0"/>
              <w:jc w:val="left"/>
              <w:textAlignment w:val="top"/>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最大功率339W/m2±3% </w:t>
            </w:r>
          </w:p>
          <w:p w14:paraId="20D264E6">
            <w:pPr>
              <w:keepNext w:val="0"/>
              <w:keepLines w:val="0"/>
              <w:widowControl/>
              <w:suppressLineNumbers w:val="0"/>
              <w:jc w:val="left"/>
              <w:textAlignment w:val="top"/>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供电要求AC90~132V/AC186~264V，频率47-63（Hz）  </w:t>
            </w:r>
          </w:p>
          <w:p w14:paraId="2CD90A97">
            <w:pPr>
              <w:keepNext w:val="0"/>
              <w:keepLines w:val="0"/>
              <w:widowControl/>
              <w:suppressLineNumbers w:val="0"/>
              <w:jc w:val="left"/>
              <w:textAlignment w:val="top"/>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安全特性GB4943/EN60950  </w:t>
            </w:r>
          </w:p>
          <w:p w14:paraId="7BA058C7">
            <w:pPr>
              <w:keepNext w:val="0"/>
              <w:keepLines w:val="0"/>
              <w:widowControl/>
              <w:suppressLineNumbers w:val="0"/>
              <w:jc w:val="left"/>
              <w:textAlignment w:val="top"/>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换帧频率50&amp;60Hz  </w:t>
            </w:r>
          </w:p>
          <w:p w14:paraId="170BC3BA">
            <w:pPr>
              <w:keepNext w:val="0"/>
              <w:keepLines w:val="0"/>
              <w:widowControl/>
              <w:suppressLineNumbers w:val="0"/>
              <w:jc w:val="left"/>
              <w:textAlignment w:val="top"/>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驱动方式恒流驱动/40扫   </w:t>
            </w:r>
          </w:p>
          <w:p w14:paraId="69DB938C">
            <w:pPr>
              <w:keepNext w:val="0"/>
              <w:keepLines w:val="0"/>
              <w:widowControl/>
              <w:suppressLineNumbers w:val="0"/>
              <w:jc w:val="left"/>
              <w:textAlignment w:val="top"/>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处理性能灰度级别12-14bit</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刷新率3840Hz±3%   </w:t>
            </w:r>
          </w:p>
          <w:p w14:paraId="0548F040">
            <w:pPr>
              <w:keepNext w:val="0"/>
              <w:keepLines w:val="0"/>
              <w:widowControl/>
              <w:suppressLineNumbers w:val="0"/>
              <w:jc w:val="left"/>
              <w:textAlignment w:val="top"/>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视频播放能力2K高清，4K超高清画面   </w:t>
            </w:r>
          </w:p>
          <w:p w14:paraId="33001100">
            <w:pPr>
              <w:keepNext w:val="0"/>
              <w:keepLines w:val="0"/>
              <w:widowControl/>
              <w:suppressLineNumbers w:val="0"/>
              <w:jc w:val="left"/>
              <w:textAlignment w:val="top"/>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寿命典型值（hrs）100,000H±3% </w:t>
            </w:r>
          </w:p>
          <w:p w14:paraId="39E23CA1">
            <w:pPr>
              <w:keepNext w:val="0"/>
              <w:keepLines w:val="0"/>
              <w:widowControl/>
              <w:suppressLineNumbers w:val="0"/>
              <w:jc w:val="left"/>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使用参数工作温/湿度范围-20℃–45℃/10%-50%RH（无结露）</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存储温/湿度范围-20℃–50℃/10%-60%RH（无结露）</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A526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65B48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36.864</w:t>
            </w:r>
          </w:p>
        </w:tc>
      </w:tr>
      <w:tr w14:paraId="2B56FC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F77C5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3B6609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开关电源</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58E37AB">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输入电压/输入频率  176~264VAC/47~63HZ，</w:t>
            </w:r>
          </w:p>
          <w:p w14:paraId="61785F62">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输出电压：DC5V</w:t>
            </w:r>
          </w:p>
          <w:p w14:paraId="1C0C3D34">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工作温度  -30℃~+60℃  ，</w:t>
            </w:r>
          </w:p>
          <w:p w14:paraId="4ABFD2B2">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储存温度  -40℃~+100℃，20~95%RH无冷凝  ，</w:t>
            </w:r>
          </w:p>
          <w:p w14:paraId="54041DA3">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冷却方式  自冷。</w:t>
            </w:r>
          </w:p>
          <w:p w14:paraId="7BC4B93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为保证设备使用的安全性，配电柜介电性能：工频耐受电压：应能承受规定的1S的50HZ工频耐压试验，没有击穿或闪络现象。</w:t>
            </w:r>
            <w:r>
              <w:rPr>
                <w:rFonts w:hint="eastAsia" w:ascii="宋体" w:hAnsi="宋体" w:eastAsia="宋体" w:cs="宋体"/>
                <w:b/>
                <w:bCs/>
                <w:i w:val="0"/>
                <w:iCs w:val="0"/>
                <w:color w:val="000000"/>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66EEB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C54F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r>
      <w:tr w14:paraId="0F443E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DA1C6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B5BCE6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控制系统</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（接收卡）</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700945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1、单卡最大带载 512×</w:t>
            </w:r>
            <w:r>
              <w:rPr>
                <w:rFonts w:hint="eastAsia" w:ascii="宋体" w:hAnsi="宋体" w:cs="宋体"/>
                <w:i w:val="0"/>
                <w:iCs w:val="0"/>
                <w:color w:val="000000"/>
                <w:kern w:val="0"/>
                <w:sz w:val="24"/>
                <w:szCs w:val="24"/>
                <w:u w:val="none"/>
                <w:lang w:val="en-US" w:eastAsia="zh-CN" w:bidi="ar"/>
              </w:rPr>
              <w:t>512</w:t>
            </w:r>
            <w:r>
              <w:rPr>
                <w:rFonts w:hint="eastAsia" w:ascii="宋体" w:hAnsi="宋体" w:eastAsia="宋体" w:cs="宋体"/>
                <w:i w:val="0"/>
                <w:iCs w:val="0"/>
                <w:color w:val="000000"/>
                <w:kern w:val="0"/>
                <w:sz w:val="24"/>
                <w:szCs w:val="24"/>
                <w:u w:val="none"/>
                <w:lang w:val="en-US" w:eastAsia="zh-CN" w:bidi="ar"/>
              </w:rPr>
              <w:t>±3%像素，最多支持 24 组RGB 并行数据；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2、采用 12 个以上标准HUB75接口，具有高稳定性和高可靠性，适用于多种环境的搭建；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3、支持逐点亮色度校正，可以对每个灯点的亮度和色度进行校正，有效消除色差，使整屏的亮度和色度达到高度均匀一致，提高显示屏的画质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4、支持画面90°倍数旋转。</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7、快速亮暗线调节在调试软件上进行快速亮暗线调节，快速解决因箱体及模组拼接造成的显示屏亮暗线，调节过程中即时生效，简单易用。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8、配合支持 3D 功能的独立主控，在软件或独立主控的操作面板上开启 3D 功能，并设置 3D 参数，使画面显示 3D 效果。</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Mapping功能开启，每个箱体上会显示数字，清楚告诉您当前箱体是哪个网口下的哪张接收卡，直观的看到显示屏连接状况。从此让箱体排查变得轻松简单，快速定位问题箱体，再也无需再爬上爬下，根据走线更改连屏文件即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10、可以将指定图片设置为显示屏的开机、网线断开或无视频源信号时的画面或者最后一帧画面</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11、可以监测自身的温度和电压，无需其他外设，在软件上可以查看接收卡的温度和电压，检测发送设备与接收卡间或接收卡与接收卡间的网络通讯质量，记录错误包数，协助排除网络通讯隐患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12、支持液晶模块，用于显示接收卡的温度、电压、单次运行时间和总运行时间。</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13、支持可以回读接收卡的固件程序并保存到本地，软件可以回读接收卡配置参数并保存到本地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14、通过主备冗余机制增加接收卡间网线级联的可靠性。主备级联线路中，当其中一条线路出现故障时，另一条线路会即时工作，保证显示屏正常工作</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15、通过软件在接收卡上保存两份接收卡配置参数，其中一份作为备份参数，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7C693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4BBC5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r>
      <w:tr w14:paraId="5C9AB9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B1E97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C518C2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视频处理器</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277271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1.拥有完备的视频输入接口1 × HDMI 2.0 、1 × DP 1.2 、4 × HDMI 1.3 、1 × 3G SDI （选配）</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2.16 路以上网口输出，最大带载 1040 万±3%像素，单台设备输出最大宽度 16384±3%，高度 8192±3%。</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3.配合 3D 发射器 EMT200 和配套 3D眼镜，实现 3D 显示效果。启用 3D后，设备输出带载减半。</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4.支持音频输入输出，HDMI、DP 支持伴随音频输入，支持 3.5mm 独立音频输入输出。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5.支持个性化的画质缩放，支持三种画面缩放模式，包括点对点模式、全屏缩放、自定义缩放。</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6.支持 2 个以上4K×2K+4 个以上2K×1K 规格的窗口。窗口大小和位置可单独调节。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7.支持 EDID 管理支持用户自定义 EDID 和预设 EDID。</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8.支持场景预设最多可创建 10 个用户场景作为模板保存，可直接调用，方便使用。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设备的接地和连接保护措施，可触及导体部件已经可靠接入保护接地，设备内的保护接地导体和保护连接导体中的元器件未串接开关或过流保护装置，并且所有的接地装置通过耐腐蚀性测试（需要提供第三方检测机构出具的CMA检测报告 ，需加盖响应供应商公章）</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★保证产品安全使用，操作人员接触区无可接触的能量危险，无裸露的电压危险部件在维修人员接触区域，设备内电容器的放电、Up=389Vp，1 秒后0V（需要提供第三方检测机构出具的CMA的检测报告 ，需加盖响应供应商公章）</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4D5C1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06E8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r>
      <w:tr w14:paraId="05235A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25714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8AFE253">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kern w:val="0"/>
                <w:sz w:val="24"/>
                <w:szCs w:val="24"/>
                <w:u w:val="none"/>
                <w:lang w:val="en-US" w:eastAsia="zh-CN" w:bidi="ar"/>
              </w:rPr>
              <w:t>多媒体服务器</w:t>
            </w:r>
            <w:r>
              <w:rPr>
                <w:rFonts w:hint="eastAsia" w:ascii="宋体" w:hAnsi="宋体" w:cs="宋体"/>
                <w:i w:val="0"/>
                <w:iCs w:val="0"/>
                <w:color w:val="000000"/>
                <w:kern w:val="0"/>
                <w:sz w:val="24"/>
                <w:szCs w:val="24"/>
                <w:u w:val="none"/>
                <w:lang w:val="en-US" w:eastAsia="zh-CN" w:bidi="ar"/>
              </w:rPr>
              <w:t>(包含控制软件）</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A926CBB">
            <w:pPr>
              <w:keepNext w:val="0"/>
              <w:keepLines w:val="0"/>
              <w:widowControl/>
              <w:suppressLineNumbers w:val="0"/>
              <w:jc w:val="left"/>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1、1U金属结构机箱；外壳防护等级符合 GB/T 4208-2017中 IP20 的要求；噪声不大于 45dB（A）；不小于6核12线程3.30GHz主频高速处理器、16G以上 DDR4 2666 高速内存、250GB以上固态硬盘，企业版操作系统；MTBF 不小于300000 小时，平均修复时间 MTTR小于15 分钟；</w:t>
            </w:r>
            <w:r>
              <w:rPr>
                <w:rFonts w:hint="eastAsia" w:ascii="宋体" w:hAnsi="宋体" w:eastAsia="宋体" w:cs="宋体"/>
                <w:b/>
                <w:bCs/>
                <w:i w:val="0"/>
                <w:iCs w:val="0"/>
                <w:color w:val="000000"/>
                <w:kern w:val="0"/>
                <w:sz w:val="24"/>
                <w:szCs w:val="24"/>
                <w:u w:val="none"/>
                <w:lang w:val="en-US" w:eastAsia="zh-CN" w:bidi="ar"/>
              </w:rPr>
              <w:t>(投标人提供CMA认可的检测机构出具的测试报告并加盖响应供应商公章）</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2、支持 DP 输出，接口分辨率可设置为4096*2160@60Hz以上。支持4 路以上 HDMI 输出，第一个接口可设置为 4K 模式，分辨率可以设置为 4096*2160@60Hz以上，此时另外三个 HDMI 接口禁用。第一个接口设置为 2K 模式时，4 个 HDMI 口可同时输出，分辨率设置为 1920*1080@60hz；</w:t>
            </w:r>
            <w:r>
              <w:rPr>
                <w:rFonts w:hint="eastAsia" w:ascii="宋体" w:hAnsi="宋体" w:eastAsia="宋体" w:cs="宋体"/>
                <w:b/>
                <w:bCs/>
                <w:i w:val="0"/>
                <w:iCs w:val="0"/>
                <w:color w:val="000000"/>
                <w:kern w:val="0"/>
                <w:sz w:val="24"/>
                <w:szCs w:val="24"/>
                <w:u w:val="none"/>
                <w:lang w:val="en-US" w:eastAsia="zh-CN" w:bidi="ar"/>
              </w:rPr>
              <w:t>(投标人提供CMA认可的检测机构出具的测试报告并加盖响应供应商公章）</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3、支持一键硬件开关机控制和一键软件远程开关机控制，支持6路以上 USB 接口、 3.5mm 麦克风音频输入接口、 3.5mm音频输出接口，支持千兆网口通讯，支持第三方通过 TCP、UDP 进行集成控制；</w:t>
            </w:r>
            <w:r>
              <w:rPr>
                <w:rFonts w:hint="eastAsia" w:ascii="宋体" w:hAnsi="宋体" w:eastAsia="宋体" w:cs="宋体"/>
                <w:b/>
                <w:bCs/>
                <w:i w:val="0"/>
                <w:iCs w:val="0"/>
                <w:color w:val="000000"/>
                <w:kern w:val="0"/>
                <w:sz w:val="24"/>
                <w:szCs w:val="24"/>
                <w:u w:val="none"/>
                <w:lang w:val="en-US" w:eastAsia="zh-CN" w:bidi="ar"/>
              </w:rPr>
              <w:t>(投标人提供CMA认可的检测机构出具的测试报告并加盖响应供应商公章）</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4、支持不少于10 台设备联机控制，通过一台主机控制其他从机进行素材下发、画面编辑、属性编辑、节目切换、进度调整；</w:t>
            </w:r>
            <w:r>
              <w:rPr>
                <w:rFonts w:hint="eastAsia" w:ascii="宋体" w:hAnsi="宋体" w:eastAsia="宋体" w:cs="宋体"/>
                <w:b/>
                <w:bCs/>
                <w:i w:val="0"/>
                <w:iCs w:val="0"/>
                <w:color w:val="000000"/>
                <w:kern w:val="0"/>
                <w:sz w:val="24"/>
                <w:szCs w:val="24"/>
                <w:u w:val="none"/>
                <w:lang w:val="en-US" w:eastAsia="zh-CN" w:bidi="ar"/>
              </w:rPr>
              <w:t>(投标人提供CMA认可的检测机构出具的测试报告并加盖响应供应商公章）</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5、支持输出接口的任意拆分重组以及任意角度旋转，实现对不规则显示屏的拼接带载；支持1路4K输出，可以拆分成1024个子输出，每个子输出支持任意角度旋转，可对子输出接口位置任意进行排序；</w:t>
            </w:r>
            <w:r>
              <w:rPr>
                <w:rFonts w:hint="eastAsia" w:ascii="宋体" w:hAnsi="宋体" w:eastAsia="宋体" w:cs="宋体"/>
                <w:b/>
                <w:bCs/>
                <w:i w:val="0"/>
                <w:iCs w:val="0"/>
                <w:color w:val="000000"/>
                <w:kern w:val="0"/>
                <w:sz w:val="24"/>
                <w:szCs w:val="24"/>
                <w:u w:val="none"/>
                <w:lang w:val="en-US" w:eastAsia="zh-CN" w:bidi="ar"/>
              </w:rPr>
              <w:t>(投标人提供CMA认可的检测机构出具的测试报告并加盖响应供应商公章）</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6、支持可视化智控平台移动端程序对播放画面的编辑和控制；</w:t>
            </w:r>
            <w:r>
              <w:rPr>
                <w:rFonts w:hint="eastAsia" w:ascii="宋体" w:hAnsi="宋体" w:eastAsia="宋体" w:cs="宋体"/>
                <w:b/>
                <w:bCs/>
                <w:i w:val="0"/>
                <w:iCs w:val="0"/>
                <w:color w:val="000000"/>
                <w:kern w:val="0"/>
                <w:sz w:val="24"/>
                <w:szCs w:val="24"/>
                <w:u w:val="none"/>
                <w:lang w:val="en-US" w:eastAsia="zh-CN" w:bidi="ar"/>
              </w:rPr>
              <w:t>(投标人提供CMA认可的检测机构出具的测试报告并加盖响应供应商公章）</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7、支持在媒体库中添加本地的视频文件、图片文件、音频文件、字幕、数字时钟、PPT 文件、NDI 媒体、采集设备、多网页、流媒体、播放合集等功能；</w:t>
            </w:r>
            <w:r>
              <w:rPr>
                <w:rFonts w:hint="eastAsia" w:ascii="宋体" w:hAnsi="宋体" w:eastAsia="宋体" w:cs="宋体"/>
                <w:b/>
                <w:bCs/>
                <w:i w:val="0"/>
                <w:iCs w:val="0"/>
                <w:color w:val="000000"/>
                <w:kern w:val="0"/>
                <w:sz w:val="24"/>
                <w:szCs w:val="24"/>
                <w:u w:val="none"/>
                <w:lang w:val="en-US" w:eastAsia="zh-CN" w:bidi="ar"/>
              </w:rPr>
              <w:t>(投标人提供CMA认可的检测机构出具的测试报告并加盖响应供应商公章）</w:t>
            </w:r>
          </w:p>
          <w:p w14:paraId="3C8398B8">
            <w:pPr>
              <w:keepNext w:val="0"/>
              <w:keepLines w:val="0"/>
              <w:widowControl/>
              <w:numPr>
                <w:ilvl w:val="0"/>
                <w:numId w:val="2"/>
              </w:numPr>
              <w:suppressLineNumbers w:val="0"/>
              <w:jc w:val="left"/>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支持节目整体播放、暂停、停止、音量调节，单个媒体的音量调节，单个视频裁剪，支持多画面同时播放时按照主计时媒体进行跳转，节目锁定。支持排期播放和播放日志查看等功能。</w:t>
            </w:r>
            <w:r>
              <w:rPr>
                <w:rFonts w:hint="eastAsia" w:ascii="宋体" w:hAnsi="宋体" w:eastAsia="宋体" w:cs="宋体"/>
                <w:b/>
                <w:bCs/>
                <w:i w:val="0"/>
                <w:iCs w:val="0"/>
                <w:color w:val="000000"/>
                <w:kern w:val="0"/>
                <w:sz w:val="24"/>
                <w:szCs w:val="24"/>
                <w:u w:val="none"/>
                <w:lang w:val="en-US" w:eastAsia="zh-CN" w:bidi="ar"/>
              </w:rPr>
              <w:t>支持软件异常后恢复正常播放的功能；(投标人提供CMA认可的检测机构出具的测试报告并加盖响应供应商公章）</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9、支持素材可视化编辑、拖拽、复制、黏贴、多选、锁定、替换，属性调节和属性继承；支持节目的编辑、复制、黏贴；支持素材播控进度的自由控制、正计时、倒计时进度查看，支持输出画面解锁等功能；</w:t>
            </w:r>
            <w:r>
              <w:rPr>
                <w:rFonts w:hint="eastAsia" w:ascii="宋体" w:hAnsi="宋体" w:eastAsia="宋体" w:cs="宋体"/>
                <w:b/>
                <w:bCs/>
                <w:i w:val="0"/>
                <w:iCs w:val="0"/>
                <w:color w:val="000000"/>
                <w:kern w:val="0"/>
                <w:sz w:val="24"/>
                <w:szCs w:val="24"/>
                <w:u w:val="none"/>
                <w:lang w:val="en-US" w:eastAsia="zh-CN" w:bidi="ar"/>
              </w:rPr>
              <w:t>(投标人提供CMA认可的检测机构出具的测试报告并加盖响应供应商公章）</w:t>
            </w:r>
          </w:p>
          <w:p w14:paraId="71F2CE6F">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10、支持多页签功能播放多个网页，降低网页播放资源占用；支持转码功能，可实现 H.264（AVC）、H.265（HEVC）编码或 VP9 编码的转码播放；</w:t>
            </w:r>
            <w:r>
              <w:rPr>
                <w:rFonts w:hint="eastAsia" w:ascii="宋体" w:hAnsi="宋体" w:eastAsia="宋体" w:cs="宋体"/>
                <w:b/>
                <w:bCs/>
                <w:i w:val="0"/>
                <w:iCs w:val="0"/>
                <w:color w:val="000000"/>
                <w:kern w:val="0"/>
                <w:sz w:val="24"/>
                <w:szCs w:val="24"/>
                <w:u w:val="none"/>
                <w:lang w:val="en-US" w:eastAsia="zh-CN" w:bidi="ar"/>
              </w:rPr>
              <w:t>(投标人提供CMA认可的检测机构出具的测试报告并加盖响应供应商公章）</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11、支持多种视频、图片、音频、office文件的播放；视频格式支持不少于：H.265 (HEVC)、 VP9、HAP, HAP-Alpha、VC1、AV1、ProRes、MPEG4、WMV2等；图片格式支持不少于：jpeg、bmp、png、gif等；音频格式支持不少于：aac、flac、amr、ape、wav、wma等；office文件支持不少于：ppt、pptx；</w:t>
            </w:r>
            <w:r>
              <w:rPr>
                <w:rFonts w:hint="eastAsia" w:ascii="宋体" w:hAnsi="宋体" w:eastAsia="宋体" w:cs="宋体"/>
                <w:b/>
                <w:bCs/>
                <w:i w:val="0"/>
                <w:iCs w:val="0"/>
                <w:color w:val="000000"/>
                <w:kern w:val="0"/>
                <w:sz w:val="24"/>
                <w:szCs w:val="24"/>
                <w:u w:val="none"/>
                <w:lang w:val="en-US" w:eastAsia="zh-CN" w:bidi="ar"/>
              </w:rPr>
              <w:t>(投标人提供CMA认可的检测机构出具的测试报告并加盖响应供应商公章）</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28761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793EA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r>
      <w:tr w14:paraId="193182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76A9F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98FED6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备品配件单元板</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687B35E">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同批次模组</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C846B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7CAFB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w:t>
            </w:r>
          </w:p>
        </w:tc>
      </w:tr>
      <w:tr w14:paraId="248F76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1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4EB19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EEA919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台式电脑</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BAC1629">
            <w:pPr>
              <w:keepNext w:val="0"/>
              <w:keepLines w:val="0"/>
              <w:widowControl/>
              <w:suppressLineNumbers w:val="0"/>
              <w:jc w:val="left"/>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处理器性能不低于6核十二线程4.4Ghz搭载集显</w:t>
            </w:r>
            <w:r>
              <w:rPr>
                <w:rFonts w:hint="eastAsia" w:ascii="宋体" w:hAnsi="宋体" w:eastAsia="宋体" w:cs="宋体"/>
                <w:i w:val="0"/>
                <w:iCs w:val="0"/>
                <w:color w:val="000000"/>
                <w:kern w:val="0"/>
                <w:sz w:val="24"/>
                <w:szCs w:val="24"/>
                <w:u w:val="none"/>
                <w:lang w:val="en-US" w:eastAsia="zh-CN" w:bidi="ar"/>
              </w:rPr>
              <w:t>/</w:t>
            </w:r>
            <w:r>
              <w:rPr>
                <w:rFonts w:hint="eastAsia" w:ascii="宋体" w:hAnsi="宋体" w:cs="宋体"/>
                <w:i w:val="0"/>
                <w:iCs w:val="0"/>
                <w:color w:val="000000"/>
                <w:kern w:val="0"/>
                <w:sz w:val="24"/>
                <w:szCs w:val="24"/>
                <w:u w:val="none"/>
                <w:lang w:val="en-US" w:eastAsia="zh-CN" w:bidi="ar"/>
              </w:rPr>
              <w:t>双通道16G以上DDR4内存</w:t>
            </w:r>
            <w:r>
              <w:rPr>
                <w:rFonts w:hint="eastAsia" w:ascii="宋体" w:hAnsi="宋体" w:eastAsia="宋体" w:cs="宋体"/>
                <w:i w:val="0"/>
                <w:iCs w:val="0"/>
                <w:color w:val="000000"/>
                <w:kern w:val="0"/>
                <w:sz w:val="24"/>
                <w:szCs w:val="24"/>
                <w:u w:val="none"/>
                <w:lang w:val="en-US" w:eastAsia="zh-CN" w:bidi="ar"/>
              </w:rPr>
              <w:t>/1T</w:t>
            </w:r>
            <w:r>
              <w:rPr>
                <w:rFonts w:hint="eastAsia" w:ascii="宋体" w:hAnsi="宋体" w:cs="宋体"/>
                <w:i w:val="0"/>
                <w:iCs w:val="0"/>
                <w:color w:val="000000"/>
                <w:kern w:val="0"/>
                <w:sz w:val="24"/>
                <w:szCs w:val="24"/>
                <w:u w:val="none"/>
                <w:lang w:val="en-US" w:eastAsia="zh-CN" w:bidi="ar"/>
              </w:rPr>
              <w:t>以上机械硬盘</w:t>
            </w:r>
            <w:r>
              <w:rPr>
                <w:rFonts w:hint="eastAsia" w:ascii="宋体" w:hAnsi="宋体" w:eastAsia="宋体" w:cs="宋体"/>
                <w:i w:val="0"/>
                <w:iCs w:val="0"/>
                <w:color w:val="000000"/>
                <w:kern w:val="0"/>
                <w:sz w:val="24"/>
                <w:szCs w:val="24"/>
                <w:u w:val="none"/>
                <w:lang w:val="en-US" w:eastAsia="zh-CN" w:bidi="ar"/>
              </w:rPr>
              <w:t>+256G</w:t>
            </w:r>
            <w:r>
              <w:rPr>
                <w:rFonts w:hint="eastAsia" w:ascii="宋体" w:hAnsi="宋体" w:cs="宋体"/>
                <w:i w:val="0"/>
                <w:iCs w:val="0"/>
                <w:color w:val="000000"/>
                <w:kern w:val="0"/>
                <w:sz w:val="24"/>
                <w:szCs w:val="24"/>
                <w:u w:val="none"/>
                <w:lang w:val="en-US" w:eastAsia="zh-CN" w:bidi="ar"/>
              </w:rPr>
              <w:t>以上固态硬盘</w:t>
            </w:r>
            <w:r>
              <w:rPr>
                <w:rFonts w:hint="eastAsia" w:ascii="宋体" w:hAnsi="宋体" w:eastAsia="宋体" w:cs="宋体"/>
                <w:i w:val="0"/>
                <w:iCs w:val="0"/>
                <w:color w:val="000000"/>
                <w:kern w:val="0"/>
                <w:sz w:val="24"/>
                <w:szCs w:val="24"/>
                <w:u w:val="none"/>
                <w:lang w:val="en-US" w:eastAsia="zh-CN" w:bidi="ar"/>
              </w:rPr>
              <w:t>/23.8寸</w:t>
            </w:r>
            <w:r>
              <w:rPr>
                <w:rFonts w:hint="eastAsia" w:ascii="宋体" w:hAnsi="宋体" w:cs="宋体"/>
                <w:i w:val="0"/>
                <w:iCs w:val="0"/>
                <w:color w:val="000000"/>
                <w:kern w:val="0"/>
                <w:sz w:val="24"/>
                <w:szCs w:val="24"/>
                <w:u w:val="none"/>
                <w:lang w:val="en-US" w:eastAsia="zh-CN" w:bidi="ar"/>
              </w:rPr>
              <w:t>左右液晶显示器/内置或外置光驱</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55F93A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AD269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r>
      <w:tr w14:paraId="7293B7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8"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44D7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二、其他部分</w:t>
            </w:r>
          </w:p>
        </w:tc>
      </w:tr>
      <w:tr w14:paraId="7E53BD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9955B">
            <w:pPr>
              <w:keepNext w:val="0"/>
              <w:keepLines w:val="0"/>
              <w:widowControl/>
              <w:suppressLineNumbers w:val="0"/>
              <w:jc w:val="both"/>
              <w:textAlignment w:val="center"/>
              <w:rPr>
                <w:rFonts w:hint="default" w:ascii="宋体" w:hAnsi="宋体" w:eastAsia="宋体" w:cs="宋体"/>
                <w:i w:val="0"/>
                <w:iCs w:val="0"/>
                <w:color w:val="000000"/>
                <w:sz w:val="24"/>
                <w:szCs w:val="24"/>
                <w:u w:val="none"/>
                <w:lang w:val="en-US"/>
              </w:rPr>
            </w:pPr>
            <w:r>
              <w:rPr>
                <w:rFonts w:hint="eastAsia" w:ascii="宋体" w:hAnsi="宋体" w:cs="宋体"/>
                <w:i w:val="0"/>
                <w:iCs w:val="0"/>
                <w:color w:val="000000"/>
                <w:kern w:val="0"/>
                <w:sz w:val="24"/>
                <w:szCs w:val="24"/>
                <w:u w:val="none"/>
                <w:lang w:val="en-US" w:eastAsia="zh-CN" w:bidi="ar"/>
              </w:rPr>
              <w:t>超</w:t>
            </w:r>
            <w:r>
              <w:rPr>
                <w:rFonts w:hint="eastAsia" w:ascii="宋体" w:hAnsi="宋体" w:eastAsia="宋体" w:cs="宋体"/>
                <w:i w:val="0"/>
                <w:iCs w:val="0"/>
                <w:color w:val="000000"/>
                <w:kern w:val="0"/>
                <w:sz w:val="24"/>
                <w:szCs w:val="24"/>
                <w:u w:val="none"/>
                <w:lang w:val="en-US" w:eastAsia="zh-CN" w:bidi="ar"/>
              </w:rPr>
              <w:t>五类非屏蔽双绞线、电源线、</w:t>
            </w:r>
            <w:r>
              <w:rPr>
                <w:rFonts w:hint="eastAsia" w:ascii="宋体" w:hAnsi="宋体" w:cs="宋体"/>
                <w:i w:val="0"/>
                <w:iCs w:val="0"/>
                <w:color w:val="000000"/>
                <w:kern w:val="0"/>
                <w:sz w:val="24"/>
                <w:szCs w:val="24"/>
                <w:u w:val="none"/>
                <w:lang w:val="en-US" w:eastAsia="zh-CN" w:bidi="ar"/>
              </w:rPr>
              <w:t>4K视频线、</w:t>
            </w:r>
            <w:r>
              <w:rPr>
                <w:rFonts w:hint="eastAsia" w:ascii="宋体" w:hAnsi="宋体" w:eastAsia="宋体" w:cs="宋体"/>
                <w:i w:val="0"/>
                <w:iCs w:val="0"/>
                <w:color w:val="000000"/>
                <w:kern w:val="0"/>
                <w:sz w:val="24"/>
                <w:szCs w:val="24"/>
                <w:u w:val="none"/>
                <w:lang w:val="en-US" w:eastAsia="zh-CN" w:bidi="ar"/>
              </w:rPr>
              <w:t>智能配电箱、固定用钢结构等</w:t>
            </w:r>
            <w:r>
              <w:rPr>
                <w:rFonts w:hint="eastAsia" w:ascii="宋体" w:hAnsi="宋体" w:cs="宋体"/>
                <w:i w:val="0"/>
                <w:iCs w:val="0"/>
                <w:color w:val="000000"/>
                <w:kern w:val="0"/>
                <w:sz w:val="24"/>
                <w:szCs w:val="24"/>
                <w:u w:val="none"/>
                <w:lang w:val="en-US" w:eastAsia="zh-CN" w:bidi="ar"/>
              </w:rPr>
              <w:t>必要</w:t>
            </w:r>
            <w:r>
              <w:rPr>
                <w:rFonts w:hint="eastAsia" w:ascii="宋体" w:hAnsi="宋体" w:eastAsia="宋体" w:cs="宋体"/>
                <w:i w:val="0"/>
                <w:iCs w:val="0"/>
                <w:color w:val="000000"/>
                <w:kern w:val="0"/>
                <w:sz w:val="24"/>
                <w:szCs w:val="24"/>
                <w:u w:val="none"/>
                <w:lang w:val="en-US" w:eastAsia="zh-CN" w:bidi="ar"/>
              </w:rPr>
              <w:t>辅材配件，安装、调试、运输、清杂、售后、税率等一系列费用皆包含于预算之中。请响应供应商酌情报价。</w:t>
            </w:r>
          </w:p>
          <w:p w14:paraId="02D64F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bl>
    <w:p w14:paraId="463833BD">
      <w:pPr>
        <w:widowControl/>
        <w:ind w:firstLine="420" w:firstLineChars="200"/>
        <w:jc w:val="left"/>
        <w:rPr>
          <w:rFonts w:hint="eastAsia" w:ascii="宋体" w:hAnsi="宋体" w:eastAsia="宋体" w:cs="宋体"/>
          <w:kern w:val="0"/>
          <w:szCs w:val="27"/>
        </w:rPr>
      </w:pPr>
    </w:p>
    <w:p w14:paraId="06DB5EE2">
      <w:pPr>
        <w:numPr>
          <w:ilvl w:val="0"/>
          <w:numId w:val="0"/>
        </w:numPr>
        <w:spacing w:line="360" w:lineRule="auto"/>
        <w:jc w:val="left"/>
        <w:rPr>
          <w:rFonts w:hint="eastAsia" w:ascii="宋体" w:hAnsi="宋体" w:cs="宋体"/>
          <w:b/>
          <w:bCs/>
          <w:sz w:val="24"/>
          <w:szCs w:val="24"/>
          <w:lang w:val="en-US" w:eastAsia="zh-CN"/>
        </w:rPr>
      </w:pPr>
      <w:r>
        <w:rPr>
          <w:rFonts w:hint="eastAsia" w:ascii="宋体" w:hAnsi="宋体" w:eastAsia="宋体" w:cs="宋体"/>
          <w:b/>
          <w:bCs/>
          <w:sz w:val="24"/>
          <w:szCs w:val="24"/>
          <w:lang w:val="en-US" w:eastAsia="zh-Hans"/>
        </w:rPr>
        <w:t>备注</w:t>
      </w:r>
      <w:r>
        <w:rPr>
          <w:rFonts w:hint="eastAsia" w:ascii="宋体" w:hAnsi="宋体" w:eastAsia="宋体" w:cs="宋体"/>
          <w:b/>
          <w:bCs/>
          <w:sz w:val="24"/>
          <w:szCs w:val="24"/>
          <w:lang w:eastAsia="zh-Hans"/>
        </w:rPr>
        <w:t>：</w:t>
      </w:r>
      <w:r>
        <w:rPr>
          <w:rFonts w:hint="eastAsia" w:ascii="宋体" w:hAnsi="宋体" w:cs="宋体"/>
          <w:b/>
          <w:bCs/>
          <w:sz w:val="24"/>
          <w:szCs w:val="24"/>
          <w:lang w:val="en-US" w:eastAsia="zh-CN"/>
        </w:rPr>
        <w:t>1、若响应供应商提供货物的参数优于采购需求的，视为其供应货物响应采购需求。</w:t>
      </w:r>
    </w:p>
    <w:p w14:paraId="316F9594">
      <w:pPr>
        <w:numPr>
          <w:ilvl w:val="0"/>
          <w:numId w:val="0"/>
        </w:numPr>
        <w:spacing w:line="360" w:lineRule="auto"/>
        <w:jc w:val="left"/>
        <w:rPr>
          <w:rFonts w:hint="default" w:ascii="宋体" w:hAnsi="宋体" w:eastAsia="宋体" w:cs="宋体"/>
          <w:b/>
          <w:bCs w:val="0"/>
          <w:sz w:val="24"/>
          <w:szCs w:val="24"/>
          <w:lang w:val="en-US" w:eastAsia="zh-CN"/>
        </w:rPr>
      </w:pPr>
      <w:r>
        <w:rPr>
          <w:rFonts w:hint="eastAsia" w:ascii="宋体" w:hAnsi="宋体" w:cs="宋体"/>
          <w:b/>
          <w:bCs/>
          <w:sz w:val="24"/>
          <w:szCs w:val="24"/>
          <w:lang w:val="en-US" w:eastAsia="zh-CN"/>
        </w:rPr>
        <w:t>2、采购清单中涉及</w:t>
      </w:r>
      <w:r>
        <w:rPr>
          <w:rFonts w:hint="eastAsia" w:ascii="宋体" w:hAnsi="宋体" w:cs="宋体"/>
          <w:b/>
          <w:bCs w:val="0"/>
          <w:sz w:val="24"/>
          <w:szCs w:val="24"/>
        </w:rPr>
        <w:t>财政部、发展改革委、生态环境部等部门发布的《节能产品政府采购品目清单》中的产品</w:t>
      </w:r>
      <w:r>
        <w:rPr>
          <w:rFonts w:hint="eastAsia" w:ascii="宋体" w:hAnsi="宋体" w:cs="宋体"/>
          <w:b/>
          <w:bCs w:val="0"/>
          <w:sz w:val="24"/>
          <w:szCs w:val="24"/>
          <w:lang w:val="en-US" w:eastAsia="zh-CN"/>
        </w:rPr>
        <w:t>的，需出示节能产品标志或证书，如未出示作无效投标处理。</w:t>
      </w:r>
    </w:p>
    <w:p w14:paraId="596DF19C">
      <w:pPr>
        <w:numPr>
          <w:ilvl w:val="0"/>
          <w:numId w:val="0"/>
        </w:numPr>
        <w:spacing w:line="360" w:lineRule="auto"/>
        <w:jc w:val="left"/>
        <w:rPr>
          <w:rFonts w:hint="eastAsia" w:ascii="宋体" w:hAnsi="宋体" w:eastAsia="宋体" w:cs="宋体"/>
          <w:b/>
          <w:bCs/>
          <w:sz w:val="24"/>
          <w:szCs w:val="24"/>
        </w:rPr>
      </w:pPr>
      <w:r>
        <w:rPr>
          <w:rFonts w:hint="eastAsia" w:ascii="宋体" w:hAnsi="宋体" w:cs="宋体"/>
          <w:b/>
          <w:bCs/>
          <w:sz w:val="24"/>
          <w:szCs w:val="24"/>
          <w:lang w:val="en-US" w:eastAsia="zh-CN"/>
        </w:rPr>
        <w:t>3、</w:t>
      </w:r>
      <w:r>
        <w:rPr>
          <w:rFonts w:hint="eastAsia" w:ascii="宋体" w:hAnsi="宋体" w:eastAsia="宋体" w:cs="宋体"/>
          <w:b/>
          <w:bCs/>
          <w:sz w:val="24"/>
          <w:szCs w:val="24"/>
          <w:lang w:val="en-US" w:eastAsia="zh-Hans"/>
        </w:rPr>
        <w:t>开标后</w:t>
      </w:r>
      <w:r>
        <w:rPr>
          <w:rFonts w:hint="default" w:ascii="宋体" w:hAnsi="宋体" w:eastAsia="宋体" w:cs="宋体"/>
          <w:b/>
          <w:bCs/>
          <w:sz w:val="24"/>
          <w:szCs w:val="24"/>
          <w:lang w:eastAsia="zh-Hans"/>
        </w:rPr>
        <w:t>，</w:t>
      </w:r>
      <w:r>
        <w:rPr>
          <w:rFonts w:hint="eastAsia" w:ascii="宋体" w:hAnsi="宋体" w:eastAsia="宋体" w:cs="宋体"/>
          <w:b/>
          <w:bCs/>
          <w:sz w:val="24"/>
          <w:szCs w:val="24"/>
          <w:lang w:val="en-US" w:eastAsia="zh-Hans"/>
        </w:rPr>
        <w:t>预中标供应商签订合同前，采购人有权要求对供应商提供的相关检验报告原件进行核查，在7个工作日内对供货的产品进行测试，不能提供原件及实物样机产品演示的，与附件文件技术参数不符的视为虚假响应，采购人有权报政府采购监督管理部门进行处理，并依据政府采购法追究其法律责任，由此导致整批货物被拒收和索赔，以及其它相关损失一律由成交供应商负责。</w:t>
      </w:r>
    </w:p>
    <w:p w14:paraId="044582FD">
      <w:pPr>
        <w:widowControl w:val="0"/>
        <w:ind w:left="0" w:leftChars="0" w:firstLine="0" w:firstLineChars="0"/>
        <w:jc w:val="both"/>
        <w:rPr>
          <w:rFonts w:hint="eastAsia" w:ascii="宋体" w:hAnsi="宋体" w:eastAsia="宋体" w:cs="宋体"/>
          <w:b w:val="0"/>
          <w:bCs w:val="0"/>
          <w:color w:val="000000"/>
          <w:kern w:val="0"/>
          <w:sz w:val="21"/>
          <w:szCs w:val="21"/>
          <w:lang w:val="en-US" w:eastAsia="zh-CN" w:bidi="ar"/>
        </w:rPr>
      </w:pPr>
    </w:p>
    <w:p w14:paraId="740431B9">
      <w:pPr>
        <w:widowControl/>
        <w:spacing w:after="100" w:afterAutospacing="1" w:line="360" w:lineRule="auto"/>
        <w:jc w:val="left"/>
        <w:rPr>
          <w:rFonts w:hint="eastAsia" w:ascii="宋体" w:hAnsi="宋体" w:cs="宋体"/>
          <w:b/>
          <w:bCs/>
          <w:sz w:val="28"/>
          <w:szCs w:val="28"/>
          <w:lang w:eastAsia="zh-CN"/>
        </w:rPr>
        <w:sectPr>
          <w:footerReference r:id="rId3" w:type="default"/>
          <w:pgSz w:w="11905" w:h="16838"/>
          <w:pgMar w:top="1474" w:right="1134" w:bottom="1474" w:left="1134" w:header="720" w:footer="720" w:gutter="0"/>
          <w:pgNumType w:fmt="decimal"/>
          <w:cols w:space="0" w:num="1"/>
          <w:docGrid w:linePitch="285" w:charSpace="0"/>
        </w:sectPr>
      </w:pPr>
      <w:r>
        <w:rPr>
          <w:rFonts w:hint="eastAsia" w:ascii="宋体" w:hAnsi="宋体"/>
          <w:b/>
          <w:bCs/>
          <w:sz w:val="24"/>
          <w:szCs w:val="24"/>
        </w:rPr>
        <w:t>注：以上</w:t>
      </w:r>
      <w:r>
        <w:rPr>
          <w:rFonts w:hint="eastAsia" w:ascii="宋体" w:hAnsi="宋体"/>
          <w:b/>
          <w:bCs/>
          <w:sz w:val="24"/>
          <w:szCs w:val="24"/>
          <w:lang w:val="en-US" w:eastAsia="zh-CN"/>
        </w:rPr>
        <w:t>技术</w:t>
      </w:r>
      <w:r>
        <w:rPr>
          <w:rFonts w:hint="eastAsia" w:ascii="宋体" w:hAnsi="宋体"/>
          <w:b/>
          <w:bCs/>
          <w:sz w:val="24"/>
          <w:szCs w:val="24"/>
        </w:rPr>
        <w:t>要求投标人必须完全响应或正偏离，否则将作为无效标处理。</w:t>
      </w:r>
    </w:p>
    <w:p w14:paraId="76FF93A4">
      <w:pPr>
        <w:spacing w:line="360" w:lineRule="auto"/>
        <w:jc w:val="both"/>
        <w:rPr>
          <w:rFonts w:hint="eastAsia" w:ascii="宋体" w:hAnsi="宋体" w:cs="宋体"/>
          <w:b/>
          <w:bCs/>
          <w:sz w:val="28"/>
          <w:szCs w:val="28"/>
        </w:rPr>
      </w:pPr>
    </w:p>
    <w:p w14:paraId="0704E76A">
      <w:pPr>
        <w:spacing w:line="360" w:lineRule="auto"/>
        <w:jc w:val="center"/>
        <w:outlineLvl w:val="1"/>
        <w:rPr>
          <w:rFonts w:ascii="宋体" w:hAnsi="宋体" w:cs="宋体"/>
          <w:b/>
          <w:bCs/>
          <w:sz w:val="28"/>
          <w:szCs w:val="28"/>
        </w:rPr>
      </w:pPr>
      <w:r>
        <w:rPr>
          <w:rFonts w:hint="eastAsia" w:ascii="宋体" w:hAnsi="宋体" w:cs="宋体"/>
          <w:b/>
          <w:bCs/>
          <w:sz w:val="28"/>
          <w:szCs w:val="28"/>
          <w:lang w:val="en-US" w:eastAsia="zh-CN"/>
        </w:rPr>
        <w:t xml:space="preserve"> </w:t>
      </w:r>
      <w:bookmarkStart w:id="1" w:name="_Toc2992"/>
      <w:r>
        <w:rPr>
          <w:rFonts w:hint="eastAsia" w:ascii="宋体" w:hAnsi="宋体" w:cs="宋体"/>
          <w:b/>
          <w:bCs/>
          <w:sz w:val="28"/>
          <w:szCs w:val="28"/>
          <w:lang w:val="en-US" w:eastAsia="zh-CN"/>
        </w:rPr>
        <w:t>二</w:t>
      </w:r>
      <w:r>
        <w:rPr>
          <w:rFonts w:hint="eastAsia" w:ascii="宋体" w:hAnsi="宋体" w:cs="宋体"/>
          <w:b/>
          <w:bCs/>
          <w:sz w:val="28"/>
          <w:szCs w:val="28"/>
          <w:lang w:eastAsia="zh-CN"/>
        </w:rPr>
        <w:t>、</w:t>
      </w:r>
      <w:r>
        <w:rPr>
          <w:rFonts w:hint="eastAsia" w:ascii="宋体" w:hAnsi="宋体" w:cs="宋体"/>
          <w:b/>
          <w:bCs/>
          <w:sz w:val="28"/>
          <w:szCs w:val="28"/>
        </w:rPr>
        <w:t>商务要求</w:t>
      </w:r>
      <w:bookmarkEnd w:id="1"/>
    </w:p>
    <w:tbl>
      <w:tblPr>
        <w:tblStyle w:val="6"/>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40"/>
        <w:gridCol w:w="6480"/>
      </w:tblGrid>
      <w:tr w14:paraId="0AB00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54" w:hRule="atLeast"/>
        </w:trPr>
        <w:tc>
          <w:tcPr>
            <w:tcW w:w="1197" w:type="pct"/>
            <w:tcBorders>
              <w:top w:val="single" w:color="auto" w:sz="12" w:space="0"/>
              <w:left w:val="single" w:color="auto" w:sz="12" w:space="0"/>
            </w:tcBorders>
          </w:tcPr>
          <w:p w14:paraId="7AB82300">
            <w:pPr>
              <w:spacing w:line="400" w:lineRule="exact"/>
              <w:rPr>
                <w:rFonts w:ascii="宋体" w:hAnsi="宋体" w:cs="宋体"/>
                <w:color w:val="000000"/>
                <w:sz w:val="24"/>
                <w:szCs w:val="24"/>
              </w:rPr>
            </w:pPr>
            <w:r>
              <w:rPr>
                <w:rFonts w:ascii="宋体" w:hAnsi="宋体" w:cs="宋体"/>
                <w:color w:val="000000"/>
                <w:sz w:val="24"/>
                <w:szCs w:val="24"/>
              </w:rPr>
              <mc:AlternateContent>
                <mc:Choice Requires="wpg">
                  <w:drawing>
                    <wp:anchor distT="0" distB="0" distL="114300" distR="114300" simplePos="0" relativeHeight="251660288" behindDoc="0" locked="0" layoutInCell="1" allowOverlap="1">
                      <wp:simplePos x="0" y="0"/>
                      <wp:positionH relativeFrom="column">
                        <wp:posOffset>-59055</wp:posOffset>
                      </wp:positionH>
                      <wp:positionV relativeFrom="paragraph">
                        <wp:posOffset>0</wp:posOffset>
                      </wp:positionV>
                      <wp:extent cx="1743075" cy="1327785"/>
                      <wp:effectExtent l="3175" t="3810" r="6350" b="9525"/>
                      <wp:wrapNone/>
                      <wp:docPr id="9" name="__TH_G12小四95"/>
                      <wp:cNvGraphicFramePr/>
                      <a:graphic xmlns:a="http://schemas.openxmlformats.org/drawingml/2006/main">
                        <a:graphicData uri="http://schemas.microsoft.com/office/word/2010/wordprocessingGroup">
                          <wpg:wgp>
                            <wpg:cNvGrpSpPr/>
                            <wpg:grpSpPr>
                              <a:xfrm>
                                <a:off x="0" y="0"/>
                                <a:ext cx="1743075" cy="1327785"/>
                                <a:chOff x="1716" y="3057"/>
                                <a:chExt cx="2805" cy="2330"/>
                              </a:xfrm>
                            </wpg:grpSpPr>
                            <wps:wsp>
                              <wps:cNvPr id="1" name="__TH_L88"/>
                              <wps:cNvCnPr/>
                              <wps:spPr>
                                <a:xfrm>
                                  <a:off x="1716" y="3057"/>
                                  <a:ext cx="2805" cy="2330"/>
                                </a:xfrm>
                                <a:prstGeom prst="line">
                                  <a:avLst/>
                                </a:prstGeom>
                                <a:ln w="6350" cap="flat" cmpd="sng">
                                  <a:solidFill>
                                    <a:srgbClr val="000000"/>
                                  </a:solidFill>
                                  <a:prstDash val="solid"/>
                                  <a:headEnd type="none" w="med" len="med"/>
                                  <a:tailEnd type="none" w="med" len="med"/>
                                </a:ln>
                              </wps:spPr>
                              <wps:bodyPr/>
                            </wps:wsp>
                            <wps:wsp>
                              <wps:cNvPr id="2" name="__TH_B1189"/>
                              <wps:cNvSpPr txBox="1"/>
                              <wps:spPr>
                                <a:xfrm>
                                  <a:off x="2769" y="3199"/>
                                  <a:ext cx="300" cy="300"/>
                                </a:xfrm>
                                <a:prstGeom prst="rect">
                                  <a:avLst/>
                                </a:prstGeom>
                                <a:noFill/>
                                <a:ln>
                                  <a:noFill/>
                                </a:ln>
                              </wps:spPr>
                              <wps:txbx>
                                <w:txbxContent>
                                  <w:p w14:paraId="7D31993C">
                                    <w:pPr>
                                      <w:snapToGrid w:val="0"/>
                                      <w:rPr>
                                        <w:sz w:val="24"/>
                                      </w:rPr>
                                    </w:pPr>
                                    <w:r>
                                      <w:rPr>
                                        <w:rFonts w:hint="eastAsia"/>
                                        <w:sz w:val="24"/>
                                      </w:rPr>
                                      <w:t>采</w:t>
                                    </w:r>
                                  </w:p>
                                </w:txbxContent>
                              </wps:txbx>
                              <wps:bodyPr lIns="0" tIns="0" rIns="0" bIns="0" upright="1"/>
                            </wps:wsp>
                            <wps:wsp>
                              <wps:cNvPr id="3" name="__TH_B1290"/>
                              <wps:cNvSpPr txBox="1"/>
                              <wps:spPr>
                                <a:xfrm>
                                  <a:off x="3184" y="3544"/>
                                  <a:ext cx="300" cy="300"/>
                                </a:xfrm>
                                <a:prstGeom prst="rect">
                                  <a:avLst/>
                                </a:prstGeom>
                                <a:noFill/>
                                <a:ln>
                                  <a:noFill/>
                                </a:ln>
                              </wps:spPr>
                              <wps:txbx>
                                <w:txbxContent>
                                  <w:p w14:paraId="28C36E22">
                                    <w:pPr>
                                      <w:snapToGrid w:val="0"/>
                                      <w:rPr>
                                        <w:sz w:val="24"/>
                                      </w:rPr>
                                    </w:pPr>
                                    <w:r>
                                      <w:rPr>
                                        <w:rFonts w:hint="eastAsia"/>
                                        <w:sz w:val="24"/>
                                      </w:rPr>
                                      <w:t>购</w:t>
                                    </w:r>
                                  </w:p>
                                </w:txbxContent>
                              </wps:txbx>
                              <wps:bodyPr lIns="0" tIns="0" rIns="0" bIns="0" upright="1"/>
                            </wps:wsp>
                            <wps:wsp>
                              <wps:cNvPr id="4" name="__TH_B1391"/>
                              <wps:cNvSpPr txBox="1"/>
                              <wps:spPr>
                                <a:xfrm>
                                  <a:off x="3599" y="3888"/>
                                  <a:ext cx="300" cy="300"/>
                                </a:xfrm>
                                <a:prstGeom prst="rect">
                                  <a:avLst/>
                                </a:prstGeom>
                                <a:noFill/>
                                <a:ln>
                                  <a:noFill/>
                                </a:ln>
                              </wps:spPr>
                              <wps:txbx>
                                <w:txbxContent>
                                  <w:p w14:paraId="127A9CFE">
                                    <w:pPr>
                                      <w:snapToGrid w:val="0"/>
                                      <w:rPr>
                                        <w:sz w:val="24"/>
                                      </w:rPr>
                                    </w:pPr>
                                    <w:r>
                                      <w:rPr>
                                        <w:rFonts w:hint="eastAsia"/>
                                        <w:sz w:val="24"/>
                                      </w:rPr>
                                      <w:t>名</w:t>
                                    </w:r>
                                  </w:p>
                                </w:txbxContent>
                              </wps:txbx>
                              <wps:bodyPr lIns="0" tIns="0" rIns="0" bIns="0" upright="1"/>
                            </wps:wsp>
                            <wps:wsp>
                              <wps:cNvPr id="5" name="__TH_B1492"/>
                              <wps:cNvSpPr txBox="1"/>
                              <wps:spPr>
                                <a:xfrm>
                                  <a:off x="4014" y="4233"/>
                                  <a:ext cx="300" cy="300"/>
                                </a:xfrm>
                                <a:prstGeom prst="rect">
                                  <a:avLst/>
                                </a:prstGeom>
                                <a:noFill/>
                                <a:ln>
                                  <a:noFill/>
                                </a:ln>
                              </wps:spPr>
                              <wps:txbx>
                                <w:txbxContent>
                                  <w:p w14:paraId="389CE148">
                                    <w:pPr>
                                      <w:snapToGrid w:val="0"/>
                                      <w:rPr>
                                        <w:sz w:val="24"/>
                                      </w:rPr>
                                    </w:pPr>
                                    <w:r>
                                      <w:rPr>
                                        <w:rFonts w:hint="eastAsia"/>
                                        <w:sz w:val="24"/>
                                      </w:rPr>
                                      <w:t>称</w:t>
                                    </w:r>
                                  </w:p>
                                </w:txbxContent>
                              </wps:txbx>
                              <wps:bodyPr lIns="0" tIns="0" rIns="0" bIns="0" upright="1"/>
                            </wps:wsp>
                            <wps:wsp>
                              <wps:cNvPr id="6" name="__TH_B2193"/>
                              <wps:cNvSpPr txBox="1"/>
                              <wps:spPr>
                                <a:xfrm>
                                  <a:off x="2140" y="4061"/>
                                  <a:ext cx="300" cy="300"/>
                                </a:xfrm>
                                <a:prstGeom prst="rect">
                                  <a:avLst/>
                                </a:prstGeom>
                                <a:noFill/>
                                <a:ln>
                                  <a:noFill/>
                                </a:ln>
                              </wps:spPr>
                              <wps:txbx>
                                <w:txbxContent>
                                  <w:p w14:paraId="7F0D14C4">
                                    <w:pPr>
                                      <w:snapToGrid w:val="0"/>
                                      <w:rPr>
                                        <w:sz w:val="24"/>
                                      </w:rPr>
                                    </w:pPr>
                                    <w:r>
                                      <w:rPr>
                                        <w:rFonts w:hint="eastAsia"/>
                                        <w:sz w:val="24"/>
                                      </w:rPr>
                                      <w:t>内</w:t>
                                    </w:r>
                                  </w:p>
                                </w:txbxContent>
                              </wps:txbx>
                              <wps:bodyPr lIns="0" tIns="0" rIns="0" bIns="0" upright="1"/>
                            </wps:wsp>
                            <wps:wsp>
                              <wps:cNvPr id="10" name="__TH_B2294"/>
                              <wps:cNvSpPr txBox="1"/>
                              <wps:spPr>
                                <a:xfrm>
                                  <a:off x="2987" y="4765"/>
                                  <a:ext cx="300" cy="300"/>
                                </a:xfrm>
                                <a:prstGeom prst="rect">
                                  <a:avLst/>
                                </a:prstGeom>
                                <a:noFill/>
                                <a:ln>
                                  <a:noFill/>
                                </a:ln>
                              </wps:spPr>
                              <wps:txbx>
                                <w:txbxContent>
                                  <w:p w14:paraId="47E44D8E">
                                    <w:pPr>
                                      <w:snapToGrid w:val="0"/>
                                      <w:rPr>
                                        <w:sz w:val="24"/>
                                      </w:rPr>
                                    </w:pPr>
                                    <w:r>
                                      <w:rPr>
                                        <w:rFonts w:hint="eastAsia"/>
                                        <w:sz w:val="24"/>
                                      </w:rPr>
                                      <w:t>容</w:t>
                                    </w:r>
                                  </w:p>
                                </w:txbxContent>
                              </wps:txbx>
                              <wps:bodyPr lIns="0" tIns="0" rIns="0" bIns="0" upright="1"/>
                            </wps:wsp>
                          </wpg:wgp>
                        </a:graphicData>
                      </a:graphic>
                    </wp:anchor>
                  </w:drawing>
                </mc:Choice>
                <mc:Fallback>
                  <w:pict>
                    <v:group id="__TH_G12小四95" o:spid="_x0000_s1026" o:spt="203" style="position:absolute;left:0pt;margin-left:-4.65pt;margin-top:0pt;height:104.55pt;width:137.25pt;z-index:251660288;mso-width-relative:page;mso-height-relative:page;" coordorigin="1716,3057" coordsize="2805,2330" o:gfxdata="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">
                      <o:lock v:ext="edit" aspectratio="f"/>
                      <v:line id="__TH_L88" o:spid="_x0000_s1026" o:spt="20" style="position:absolute;left:1716;top:3057;height:2330;width:2805;" filled="f" stroked="t" coordsize="21600,21600" o:gfxdata="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2wcIfbgAAADaAAAA&#10;DwAAAAAAAAABACAAAAAiAAAAZHJzL2Rvd25yZXYueG1sUEsBAhQAFAAAAAgAh07iQDMvBZ47AAAA&#10;OQAAABAAAAAAAAAAAQAgAAAABwEAAGRycy9zaGFwZXhtbC54bWxQSwUGAAAAAAYABgBbAQAAsQMA&#10;AAAA&#10;">
                        <v:fill on="f" focussize="0,0"/>
                        <v:stroke weight="0.5pt" color="#000000" joinstyle="round"/>
                        <v:imagedata o:title=""/>
                        <o:lock v:ext="edit" aspectratio="f"/>
                      </v:line>
                      <v:shape id="__TH_B1189" o:spid="_x0000_s1026" o:spt="202" type="#_x0000_t202" style="position:absolute;left:2769;top:3199;height:300;width:300;" filled="f" stroked="f" coordsize="21600,21600" o:gfxdata="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RpV0I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7D31993C">
                              <w:pPr>
                                <w:snapToGrid w:val="0"/>
                                <w:rPr>
                                  <w:sz w:val="24"/>
                                </w:rPr>
                              </w:pPr>
                              <w:r>
                                <w:rPr>
                                  <w:rFonts w:hint="eastAsia"/>
                                  <w:sz w:val="24"/>
                                </w:rPr>
                                <w:t>采</w:t>
                              </w:r>
                            </w:p>
                          </w:txbxContent>
                        </v:textbox>
                      </v:shape>
                      <v:shape id="__TH_B1290" o:spid="_x0000_s1026" o:spt="202" type="#_x0000_t202" style="position:absolute;left:3184;top:3544;height:300;width:300;" filled="f" stroked="f" coordsize="21600,21600" o:gfxdata="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6fiT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28C36E22">
                              <w:pPr>
                                <w:snapToGrid w:val="0"/>
                                <w:rPr>
                                  <w:sz w:val="24"/>
                                </w:rPr>
                              </w:pPr>
                              <w:r>
                                <w:rPr>
                                  <w:rFonts w:hint="eastAsia"/>
                                  <w:sz w:val="24"/>
                                </w:rPr>
                                <w:t>购</w:t>
                              </w:r>
                            </w:p>
                          </w:txbxContent>
                        </v:textbox>
                      </v:shape>
                      <v:shape id="__TH_B1391" o:spid="_x0000_s1026" o:spt="202" type="#_x0000_t202" style="position:absolute;left:3599;top:3888;height:300;width:300;" filled="f" stroked="f" coordsize="21600,21600" o:gfxdata="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AGDn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127A9CFE">
                              <w:pPr>
                                <w:snapToGrid w:val="0"/>
                                <w:rPr>
                                  <w:sz w:val="24"/>
                                </w:rPr>
                              </w:pPr>
                              <w:r>
                                <w:rPr>
                                  <w:rFonts w:hint="eastAsia"/>
                                  <w:sz w:val="24"/>
                                </w:rPr>
                                <w:t>名</w:t>
                              </w:r>
                            </w:p>
                          </w:txbxContent>
                        </v:textbox>
                      </v:shape>
                      <v:shape id="__TH_B1492" o:spid="_x0000_s1026" o:spt="202" type="#_x0000_t202" style="position:absolute;left:4014;top:4233;height:300;width:300;" filled="f" stroked="f" coordsize="21600,21600" o:gfxdata="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eTMV8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389CE148">
                              <w:pPr>
                                <w:snapToGrid w:val="0"/>
                                <w:rPr>
                                  <w:sz w:val="24"/>
                                </w:rPr>
                              </w:pPr>
                              <w:r>
                                <w:rPr>
                                  <w:rFonts w:hint="eastAsia"/>
                                  <w:sz w:val="24"/>
                                </w:rPr>
                                <w:t>称</w:t>
                              </w:r>
                            </w:p>
                          </w:txbxContent>
                        </v:textbox>
                      </v:shape>
                      <v:shape id="__TH_B2193" o:spid="_x0000_s1026" o:spt="202" type="#_x0000_t202" style="position:absolute;left:2140;top:4061;height:300;width:300;" filled="f" stroked="f" coordsize="21600,21600" o:gfxdata="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unlsL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7F0D14C4">
                              <w:pPr>
                                <w:snapToGrid w:val="0"/>
                                <w:rPr>
                                  <w:sz w:val="24"/>
                                </w:rPr>
                              </w:pPr>
                              <w:r>
                                <w:rPr>
                                  <w:rFonts w:hint="eastAsia"/>
                                  <w:sz w:val="24"/>
                                </w:rPr>
                                <w:t>内</w:t>
                              </w:r>
                            </w:p>
                          </w:txbxContent>
                        </v:textbox>
                      </v:shape>
                      <v:shape id="__TH_B2294" o:spid="_x0000_s1026" o:spt="202" type="#_x0000_t202" style="position:absolute;left:2987;top:4765;height:300;width:300;" filled="f" stroked="f" coordsize="21600,21600" o:gfxdata="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grxuL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47E44D8E">
                              <w:pPr>
                                <w:snapToGrid w:val="0"/>
                                <w:rPr>
                                  <w:sz w:val="24"/>
                                </w:rPr>
                              </w:pPr>
                              <w:r>
                                <w:rPr>
                                  <w:rFonts w:hint="eastAsia"/>
                                  <w:sz w:val="24"/>
                                </w:rPr>
                                <w:t>容</w:t>
                              </w:r>
                            </w:p>
                          </w:txbxContent>
                        </v:textbox>
                      </v:shape>
                    </v:group>
                  </w:pict>
                </mc:Fallback>
              </mc:AlternateContent>
            </w:r>
          </w:p>
        </w:tc>
        <w:tc>
          <w:tcPr>
            <w:tcW w:w="3802" w:type="pct"/>
            <w:tcBorders>
              <w:top w:val="single" w:color="auto" w:sz="12" w:space="0"/>
              <w:right w:val="single" w:color="auto" w:sz="12" w:space="0"/>
            </w:tcBorders>
            <w:vAlign w:val="center"/>
          </w:tcPr>
          <w:p w14:paraId="31176445">
            <w:pPr>
              <w:spacing w:line="400" w:lineRule="exact"/>
              <w:jc w:val="center"/>
              <w:rPr>
                <w:rFonts w:hint="eastAsia" w:ascii="宋体" w:hAnsi="宋体" w:eastAsia="宋体" w:cs="宋体"/>
                <w:color w:val="000000"/>
                <w:sz w:val="24"/>
                <w:szCs w:val="24"/>
                <w:lang w:eastAsia="zh-CN"/>
              </w:rPr>
            </w:pPr>
            <w:r>
              <w:rPr>
                <w:rFonts w:hint="eastAsia" w:eastAsia="宋体"/>
                <w:bCs/>
                <w:sz w:val="24"/>
                <w:szCs w:val="24"/>
                <w:lang w:eastAsia="zh-CN"/>
              </w:rPr>
              <w:t>市委党校大报告厅LED显示屏设备采购项目</w:t>
            </w:r>
          </w:p>
        </w:tc>
      </w:tr>
      <w:tr w14:paraId="51535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0" w:hRule="atLeast"/>
        </w:trPr>
        <w:tc>
          <w:tcPr>
            <w:tcW w:w="1197" w:type="pct"/>
            <w:tcBorders>
              <w:left w:val="single" w:color="auto" w:sz="12" w:space="0"/>
            </w:tcBorders>
            <w:vAlign w:val="center"/>
          </w:tcPr>
          <w:p w14:paraId="1D23109A">
            <w:pPr>
              <w:spacing w:line="400" w:lineRule="exact"/>
              <w:jc w:val="center"/>
              <w:rPr>
                <w:rFonts w:hint="eastAsia" w:ascii="宋体" w:hAnsi="宋体" w:cs="宋体"/>
                <w:color w:val="000000"/>
                <w:sz w:val="24"/>
                <w:szCs w:val="24"/>
              </w:rPr>
            </w:pPr>
            <w:r>
              <w:rPr>
                <w:rFonts w:hint="eastAsia" w:ascii="宋体" w:hAnsi="宋体" w:cs="宋体"/>
                <w:color w:val="000000"/>
                <w:sz w:val="24"/>
                <w:szCs w:val="24"/>
              </w:rPr>
              <w:t>数 量</w:t>
            </w:r>
          </w:p>
        </w:tc>
        <w:tc>
          <w:tcPr>
            <w:tcW w:w="3802" w:type="pct"/>
            <w:tcBorders>
              <w:right w:val="single" w:color="auto" w:sz="12" w:space="0"/>
            </w:tcBorders>
            <w:vAlign w:val="center"/>
          </w:tcPr>
          <w:p w14:paraId="47ED61AD">
            <w:pPr>
              <w:spacing w:line="400" w:lineRule="exact"/>
              <w:jc w:val="center"/>
              <w:rPr>
                <w:rFonts w:hint="default" w:ascii="宋体" w:hAnsi="宋体" w:eastAsia="宋体" w:cs="宋体"/>
                <w:color w:val="000000"/>
                <w:sz w:val="24"/>
                <w:szCs w:val="24"/>
                <w:lang w:val="en-US" w:eastAsia="zh-CN"/>
              </w:rPr>
            </w:pPr>
            <w:r>
              <w:rPr>
                <w:rFonts w:hint="eastAsia" w:ascii="宋体" w:hAnsi="宋体" w:cs="宋体"/>
                <w:color w:val="000000"/>
                <w:sz w:val="24"/>
                <w:szCs w:val="24"/>
                <w:lang w:val="en-US" w:eastAsia="zh-CN"/>
              </w:rPr>
              <w:t>详见采购需求</w:t>
            </w:r>
          </w:p>
        </w:tc>
      </w:tr>
      <w:tr w14:paraId="7B8C8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0" w:hRule="atLeast"/>
        </w:trPr>
        <w:tc>
          <w:tcPr>
            <w:tcW w:w="1197" w:type="pct"/>
            <w:tcBorders>
              <w:left w:val="single" w:color="auto" w:sz="12" w:space="0"/>
            </w:tcBorders>
            <w:vAlign w:val="center"/>
          </w:tcPr>
          <w:p w14:paraId="1B7BC53C">
            <w:pPr>
              <w:spacing w:line="400" w:lineRule="exact"/>
              <w:jc w:val="center"/>
              <w:rPr>
                <w:rFonts w:hint="eastAsia" w:ascii="宋体" w:hAnsi="宋体" w:cs="宋体"/>
                <w:color w:val="000000"/>
                <w:sz w:val="24"/>
                <w:szCs w:val="24"/>
              </w:rPr>
            </w:pPr>
            <w:r>
              <w:rPr>
                <w:rFonts w:hint="eastAsia" w:ascii="宋体" w:hAnsi="宋体" w:cs="宋体"/>
                <w:color w:val="000000"/>
                <w:sz w:val="24"/>
                <w:szCs w:val="24"/>
                <w:lang w:val="en-US" w:eastAsia="zh-CN"/>
              </w:rPr>
              <w:t>交货</w:t>
            </w:r>
            <w:r>
              <w:rPr>
                <w:rFonts w:hint="eastAsia" w:ascii="宋体" w:hAnsi="宋体" w:cs="宋体"/>
                <w:color w:val="000000"/>
                <w:sz w:val="24"/>
                <w:szCs w:val="24"/>
              </w:rPr>
              <w:t>地点</w:t>
            </w:r>
          </w:p>
        </w:tc>
        <w:tc>
          <w:tcPr>
            <w:tcW w:w="3802" w:type="pct"/>
            <w:tcBorders>
              <w:right w:val="single" w:color="auto" w:sz="12" w:space="0"/>
            </w:tcBorders>
            <w:vAlign w:val="center"/>
          </w:tcPr>
          <w:p w14:paraId="60807349">
            <w:pPr>
              <w:spacing w:line="400" w:lineRule="exact"/>
              <w:jc w:val="center"/>
              <w:rPr>
                <w:rFonts w:hint="eastAsia" w:ascii="宋体" w:hAnsi="宋体" w:cs="宋体"/>
                <w:color w:val="000000"/>
                <w:sz w:val="24"/>
                <w:szCs w:val="24"/>
              </w:rPr>
            </w:pPr>
            <w:r>
              <w:rPr>
                <w:rFonts w:hint="eastAsia" w:ascii="宋体" w:hAnsi="宋体" w:cs="宋体"/>
                <w:color w:val="000000"/>
                <w:sz w:val="24"/>
                <w:szCs w:val="24"/>
              </w:rPr>
              <w:t>采购人指定地点</w:t>
            </w:r>
          </w:p>
        </w:tc>
      </w:tr>
      <w:tr w14:paraId="10D34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0" w:hRule="atLeast"/>
        </w:trPr>
        <w:tc>
          <w:tcPr>
            <w:tcW w:w="1197" w:type="pct"/>
            <w:tcBorders>
              <w:left w:val="single" w:color="auto" w:sz="12" w:space="0"/>
            </w:tcBorders>
            <w:vAlign w:val="center"/>
          </w:tcPr>
          <w:p w14:paraId="465CC28C">
            <w:pPr>
              <w:spacing w:line="400" w:lineRule="exact"/>
              <w:jc w:val="center"/>
              <w:rPr>
                <w:rFonts w:hint="eastAsia" w:ascii="宋体" w:hAnsi="宋体" w:cs="宋体"/>
                <w:color w:val="000000"/>
                <w:sz w:val="24"/>
                <w:szCs w:val="24"/>
                <w:lang w:val="en-US" w:eastAsia="zh-CN"/>
              </w:rPr>
            </w:pPr>
            <w:r>
              <w:rPr>
                <w:rFonts w:hint="eastAsia" w:ascii="宋体" w:hAnsi="宋体" w:cs="宋体"/>
                <w:sz w:val="24"/>
                <w:szCs w:val="24"/>
              </w:rPr>
              <w:t>合同</w:t>
            </w:r>
            <w:r>
              <w:rPr>
                <w:rFonts w:hint="eastAsia" w:ascii="宋体" w:hAnsi="宋体" w:cs="宋体"/>
                <w:sz w:val="24"/>
                <w:szCs w:val="24"/>
                <w:highlight w:val="none"/>
              </w:rPr>
              <w:t>履行期限</w:t>
            </w:r>
          </w:p>
        </w:tc>
        <w:tc>
          <w:tcPr>
            <w:tcW w:w="3802" w:type="pct"/>
            <w:tcBorders>
              <w:right w:val="single" w:color="auto" w:sz="12" w:space="0"/>
            </w:tcBorders>
            <w:vAlign w:val="center"/>
          </w:tcPr>
          <w:p w14:paraId="6CF72543">
            <w:pPr>
              <w:spacing w:line="400" w:lineRule="exact"/>
              <w:jc w:val="center"/>
              <w:rPr>
                <w:rFonts w:hint="eastAsia" w:ascii="宋体" w:hAnsi="宋体" w:cs="宋体"/>
                <w:color w:val="000000"/>
                <w:sz w:val="24"/>
                <w:szCs w:val="24"/>
              </w:rPr>
            </w:pPr>
            <w:r>
              <w:rPr>
                <w:rFonts w:hint="eastAsia" w:ascii="宋体" w:hAnsi="宋体" w:cs="宋体"/>
                <w:sz w:val="24"/>
                <w:szCs w:val="24"/>
                <w:highlight w:val="none"/>
                <w:lang w:val="en-US" w:eastAsia="zh-CN"/>
              </w:rPr>
              <w:t>自合同签订后10天内安装完成并交付</w:t>
            </w:r>
          </w:p>
        </w:tc>
      </w:tr>
      <w:tr w14:paraId="79864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0" w:hRule="atLeast"/>
        </w:trPr>
        <w:tc>
          <w:tcPr>
            <w:tcW w:w="1197" w:type="pct"/>
            <w:tcBorders>
              <w:left w:val="single" w:color="auto" w:sz="12" w:space="0"/>
            </w:tcBorders>
            <w:vAlign w:val="center"/>
          </w:tcPr>
          <w:p w14:paraId="54F7853B">
            <w:pPr>
              <w:spacing w:line="400" w:lineRule="exact"/>
              <w:jc w:val="center"/>
              <w:rPr>
                <w:rFonts w:hint="eastAsia" w:ascii="宋体" w:hAnsi="宋体" w:eastAsia="宋体" w:cs="宋体"/>
                <w:color w:val="000000"/>
                <w:sz w:val="24"/>
                <w:szCs w:val="24"/>
              </w:rPr>
            </w:pPr>
            <w:r>
              <w:rPr>
                <w:rFonts w:hint="eastAsia" w:ascii="宋体" w:hAnsi="宋体" w:eastAsia="宋体" w:cs="宋体"/>
                <w:color w:val="000000"/>
                <w:sz w:val="24"/>
                <w:szCs w:val="24"/>
              </w:rPr>
              <w:t>付款方式</w:t>
            </w:r>
          </w:p>
        </w:tc>
        <w:tc>
          <w:tcPr>
            <w:tcW w:w="3802" w:type="pct"/>
            <w:tcBorders>
              <w:right w:val="single" w:color="auto" w:sz="12" w:space="0"/>
            </w:tcBorders>
            <w:vAlign w:val="center"/>
          </w:tcPr>
          <w:p w14:paraId="6542213C">
            <w:pPr>
              <w:spacing w:line="400" w:lineRule="exact"/>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eastAsia="zh-CN"/>
              </w:rPr>
              <w:t>货物送到指定地点安装验收后30日内支付90%货款，一年后支付</w:t>
            </w:r>
            <w:r>
              <w:rPr>
                <w:rFonts w:hint="eastAsia" w:ascii="宋体" w:hAnsi="宋体" w:cs="宋体"/>
                <w:color w:val="000000"/>
                <w:sz w:val="24"/>
                <w:szCs w:val="24"/>
                <w:lang w:val="en-US" w:eastAsia="zh-CN"/>
              </w:rPr>
              <w:t>剩余</w:t>
            </w:r>
            <w:r>
              <w:rPr>
                <w:rFonts w:hint="eastAsia" w:ascii="宋体" w:hAnsi="宋体" w:eastAsia="宋体" w:cs="宋体"/>
                <w:color w:val="000000"/>
                <w:sz w:val="24"/>
                <w:szCs w:val="24"/>
                <w:lang w:eastAsia="zh-CN"/>
              </w:rPr>
              <w:t>10%尾款。</w:t>
            </w:r>
          </w:p>
        </w:tc>
      </w:tr>
      <w:tr w14:paraId="6ECA4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0" w:hRule="atLeast"/>
        </w:trPr>
        <w:tc>
          <w:tcPr>
            <w:tcW w:w="1197" w:type="pct"/>
            <w:tcBorders>
              <w:left w:val="single" w:color="auto" w:sz="12" w:space="0"/>
            </w:tcBorders>
            <w:vAlign w:val="center"/>
          </w:tcPr>
          <w:p w14:paraId="14FB3802">
            <w:pPr>
              <w:spacing w:line="400" w:lineRule="exact"/>
              <w:jc w:val="center"/>
              <w:rPr>
                <w:rFonts w:hint="eastAsia" w:ascii="宋体" w:hAnsi="宋体" w:cs="宋体"/>
                <w:color w:val="000000"/>
                <w:sz w:val="24"/>
                <w:szCs w:val="24"/>
              </w:rPr>
            </w:pPr>
            <w:r>
              <w:rPr>
                <w:rFonts w:hint="eastAsia" w:ascii="宋体" w:hAnsi="宋体" w:cs="宋体"/>
                <w:color w:val="000000"/>
                <w:sz w:val="24"/>
                <w:szCs w:val="24"/>
              </w:rPr>
              <w:t>质保期</w:t>
            </w:r>
          </w:p>
        </w:tc>
        <w:tc>
          <w:tcPr>
            <w:tcW w:w="3802" w:type="pct"/>
            <w:tcBorders>
              <w:right w:val="single" w:color="auto" w:sz="12" w:space="0"/>
            </w:tcBorders>
            <w:vAlign w:val="center"/>
          </w:tcPr>
          <w:p w14:paraId="7EED99EB">
            <w:pPr>
              <w:spacing w:line="400" w:lineRule="exact"/>
              <w:jc w:val="both"/>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二年（产品本身质保期超过 24个月的，按产品本身质保期进行计算）</w:t>
            </w:r>
          </w:p>
        </w:tc>
      </w:tr>
      <w:tr w14:paraId="580BA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0" w:hRule="atLeast"/>
        </w:trPr>
        <w:tc>
          <w:tcPr>
            <w:tcW w:w="1197" w:type="pct"/>
            <w:tcBorders>
              <w:left w:val="single" w:color="auto" w:sz="12" w:space="0"/>
            </w:tcBorders>
            <w:vAlign w:val="center"/>
          </w:tcPr>
          <w:p w14:paraId="080A0602">
            <w:pPr>
              <w:spacing w:line="400" w:lineRule="exact"/>
              <w:jc w:val="center"/>
              <w:rPr>
                <w:rFonts w:hint="default" w:ascii="宋体" w:hAnsi="宋体" w:eastAsia="宋体" w:cs="宋体"/>
                <w:color w:val="000000"/>
                <w:sz w:val="24"/>
                <w:szCs w:val="24"/>
                <w:lang w:val="en-US" w:eastAsia="zh-CN"/>
              </w:rPr>
            </w:pPr>
            <w:r>
              <w:rPr>
                <w:rFonts w:hint="eastAsia" w:ascii="宋体" w:hAnsi="宋体" w:cs="宋体"/>
                <w:color w:val="000000"/>
                <w:sz w:val="24"/>
                <w:szCs w:val="24"/>
                <w:lang w:val="en-US" w:eastAsia="zh-CN"/>
              </w:rPr>
              <w:t>货物要求</w:t>
            </w:r>
          </w:p>
        </w:tc>
        <w:tc>
          <w:tcPr>
            <w:tcW w:w="3802" w:type="pct"/>
            <w:tcBorders>
              <w:right w:val="single" w:color="auto" w:sz="12" w:space="0"/>
            </w:tcBorders>
            <w:vAlign w:val="center"/>
          </w:tcPr>
          <w:p w14:paraId="5602C7D5">
            <w:pPr>
              <w:spacing w:line="400" w:lineRule="exact"/>
              <w:jc w:val="both"/>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投标人必须保证所提供的货物为全新的出厂货物，并未对招标文件规定的部件作任何的更改和替换。包装和装运标志：除合同另有规定外，成交供应商提供的全部货物，均应采用国家或专业标准保护措施进行包装，使包装应适应于海运、或空运、或陆上长距离运输，并有良好的防潮、防震、防锈和防粗暴装卸等保护措施，确保货物安全无损运抵现场。由于包装不善所引起的货物锈蚀、损坏和损失造成的后果均由成交供应商承担。每件包装箱内应附一份详细装箱单和质量合格证。除合同另有规定外，装运标志均应采用国家或专业标准进行标志。由于标志不妥所造成货物损坏和损失的后果均由成交供应商承担。</w:t>
            </w:r>
          </w:p>
        </w:tc>
      </w:tr>
      <w:tr w14:paraId="1929C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1" w:hRule="atLeast"/>
        </w:trPr>
        <w:tc>
          <w:tcPr>
            <w:tcW w:w="1197" w:type="pct"/>
            <w:tcBorders>
              <w:left w:val="single" w:color="auto" w:sz="12" w:space="0"/>
            </w:tcBorders>
            <w:vAlign w:val="center"/>
          </w:tcPr>
          <w:p w14:paraId="5DA2F81F">
            <w:pPr>
              <w:spacing w:line="360" w:lineRule="auto"/>
              <w:jc w:val="center"/>
              <w:rPr>
                <w:rFonts w:hint="eastAsia" w:ascii="宋体" w:hAnsi="宋体" w:cs="宋体"/>
                <w:bCs/>
                <w:sz w:val="24"/>
                <w:szCs w:val="24"/>
              </w:rPr>
            </w:pPr>
            <w:r>
              <w:rPr>
                <w:rFonts w:hint="eastAsia" w:ascii="宋体" w:hAnsi="宋体" w:cs="宋体"/>
                <w:bCs/>
                <w:sz w:val="24"/>
                <w:szCs w:val="24"/>
              </w:rPr>
              <w:t>售后服务</w:t>
            </w:r>
          </w:p>
        </w:tc>
        <w:tc>
          <w:tcPr>
            <w:tcW w:w="3802" w:type="pct"/>
            <w:tcBorders>
              <w:right w:val="single" w:color="auto" w:sz="12" w:space="0"/>
            </w:tcBorders>
            <w:vAlign w:val="center"/>
          </w:tcPr>
          <w:p w14:paraId="437022E1">
            <w:pPr>
              <w:spacing w:line="360" w:lineRule="auto"/>
              <w:rPr>
                <w:rFonts w:hint="eastAsia" w:ascii="宋体" w:hAnsi="宋体" w:eastAsia="宋体" w:cs="宋体"/>
                <w:bCs/>
                <w:sz w:val="24"/>
                <w:szCs w:val="24"/>
              </w:rPr>
            </w:pPr>
            <w:r>
              <w:rPr>
                <w:rFonts w:hint="eastAsia" w:ascii="宋体" w:hAnsi="宋体" w:cs="宋体"/>
                <w:bCs/>
                <w:sz w:val="24"/>
                <w:szCs w:val="24"/>
                <w:highlight w:val="none"/>
                <w:lang w:val="en-US" w:eastAsia="zh-CN"/>
              </w:rPr>
              <w:t>1</w:t>
            </w:r>
            <w:r>
              <w:rPr>
                <w:rFonts w:hint="eastAsia" w:ascii="宋体" w:hAnsi="宋体" w:eastAsia="宋体" w:cs="宋体"/>
                <w:bCs/>
                <w:sz w:val="24"/>
                <w:szCs w:val="24"/>
                <w:highlight w:val="none"/>
              </w:rPr>
              <w:t>.供应商应有完善的技术支持与服务体系，专人负责与采购人联系售后服务事宜，</w:t>
            </w:r>
            <w:r>
              <w:rPr>
                <w:rFonts w:hint="eastAsia" w:ascii="宋体" w:hAnsi="宋体" w:eastAsia="宋体" w:cs="宋体"/>
                <w:bCs/>
                <w:sz w:val="24"/>
                <w:szCs w:val="24"/>
              </w:rPr>
              <w:t>必要的售后机具配置、具有专门固定的售后服务电话，并能提供本地化服务。</w:t>
            </w:r>
          </w:p>
          <w:p w14:paraId="3C2CF54B">
            <w:pPr>
              <w:spacing w:line="360" w:lineRule="auto"/>
              <w:rPr>
                <w:rFonts w:hint="eastAsia" w:ascii="宋体" w:hAnsi="宋体" w:eastAsia="宋体" w:cs="宋体"/>
                <w:bCs/>
                <w:sz w:val="24"/>
                <w:szCs w:val="24"/>
              </w:rPr>
            </w:pPr>
            <w:r>
              <w:rPr>
                <w:rFonts w:hint="eastAsia" w:ascii="宋体" w:hAnsi="宋体" w:cs="宋体"/>
                <w:bCs/>
                <w:sz w:val="24"/>
                <w:szCs w:val="24"/>
                <w:lang w:val="en-US" w:eastAsia="zh-CN"/>
              </w:rPr>
              <w:t>2</w:t>
            </w:r>
            <w:r>
              <w:rPr>
                <w:rFonts w:hint="eastAsia" w:ascii="宋体" w:hAnsi="宋体" w:eastAsia="宋体" w:cs="宋体"/>
                <w:bCs/>
                <w:sz w:val="24"/>
                <w:szCs w:val="24"/>
              </w:rPr>
              <w:t>.供应商针对本项目向采购人提供培训服务，培训内容包括设备的性能、原理、操作、保养和维护等内容，达到采购人可独立使用，培训人数和地点由采购人指定，并在培训后免费提供技术咨询服务。</w:t>
            </w:r>
          </w:p>
          <w:p w14:paraId="3B25E489">
            <w:pPr>
              <w:spacing w:line="360" w:lineRule="auto"/>
              <w:rPr>
                <w:rFonts w:hint="eastAsia" w:ascii="宋体" w:hAnsi="宋体" w:eastAsia="宋体" w:cs="宋体"/>
                <w:bCs/>
                <w:sz w:val="24"/>
                <w:szCs w:val="24"/>
              </w:rPr>
            </w:pPr>
            <w:r>
              <w:rPr>
                <w:rFonts w:hint="eastAsia" w:ascii="宋体" w:hAnsi="宋体" w:cs="宋体"/>
                <w:bCs/>
                <w:sz w:val="24"/>
                <w:szCs w:val="24"/>
                <w:lang w:val="en-US" w:eastAsia="zh-CN"/>
              </w:rPr>
              <w:t>3</w:t>
            </w:r>
            <w:r>
              <w:rPr>
                <w:rFonts w:hint="eastAsia" w:ascii="宋体" w:hAnsi="宋体" w:eastAsia="宋体" w:cs="宋体"/>
                <w:bCs/>
                <w:sz w:val="24"/>
                <w:szCs w:val="24"/>
              </w:rPr>
              <w:t>.在质保期内货物出现质量问题，供应商应在接到通知后2小时内到场，12 小时内完成维修。设备需更换的应在2个工作日内完成更换。逾期未完成维修或更换的，供应商应向采购人支付合同总价1%的违约金。</w:t>
            </w:r>
          </w:p>
          <w:p w14:paraId="6CB53936">
            <w:pPr>
              <w:spacing w:line="360" w:lineRule="auto"/>
              <w:rPr>
                <w:rFonts w:hint="eastAsia" w:ascii="宋体" w:hAnsi="宋体" w:eastAsia="宋体" w:cs="宋体"/>
                <w:bCs/>
                <w:sz w:val="24"/>
                <w:szCs w:val="24"/>
              </w:rPr>
            </w:pPr>
            <w:r>
              <w:rPr>
                <w:rFonts w:hint="eastAsia" w:ascii="宋体" w:hAnsi="宋体" w:cs="宋体"/>
                <w:bCs/>
                <w:sz w:val="24"/>
                <w:szCs w:val="24"/>
                <w:lang w:val="en-US" w:eastAsia="zh-CN"/>
              </w:rPr>
              <w:t>4</w:t>
            </w:r>
            <w:r>
              <w:rPr>
                <w:rFonts w:hint="eastAsia" w:ascii="宋体" w:hAnsi="宋体" w:eastAsia="宋体" w:cs="宋体"/>
                <w:bCs/>
                <w:sz w:val="24"/>
                <w:szCs w:val="24"/>
              </w:rPr>
              <w:t>.供应商承诺项目全部货物的各种部件均保证齐备、充足供应，若因产品升级更新等原因不能保障供应造成采购人损失的，供应商承担全部赔偿责任，在交货时需向采购人提供货物常规备品备件。</w:t>
            </w:r>
          </w:p>
          <w:p w14:paraId="335D9318">
            <w:pPr>
              <w:spacing w:line="360" w:lineRule="auto"/>
              <w:rPr>
                <w:rFonts w:hint="eastAsia" w:ascii="宋体" w:hAnsi="宋体" w:eastAsia="宋体" w:cs="宋体"/>
                <w:b/>
                <w:sz w:val="24"/>
                <w:szCs w:val="24"/>
              </w:rPr>
            </w:pPr>
            <w:r>
              <w:rPr>
                <w:rFonts w:hint="eastAsia" w:ascii="宋体" w:hAnsi="宋体" w:cs="宋体"/>
                <w:b/>
                <w:sz w:val="24"/>
                <w:szCs w:val="24"/>
                <w:lang w:val="en-US" w:eastAsia="zh-CN"/>
              </w:rPr>
              <w:t>5</w:t>
            </w:r>
            <w:r>
              <w:rPr>
                <w:rFonts w:hint="eastAsia" w:ascii="宋体" w:hAnsi="宋体" w:eastAsia="宋体" w:cs="宋体"/>
                <w:b/>
                <w:sz w:val="24"/>
                <w:szCs w:val="24"/>
              </w:rPr>
              <w:t>、知识产权：</w:t>
            </w:r>
          </w:p>
          <w:p w14:paraId="5E615DC0">
            <w:pPr>
              <w:spacing w:line="360" w:lineRule="auto"/>
              <w:rPr>
                <w:rFonts w:hint="eastAsia" w:ascii="宋体" w:hAnsi="宋体" w:eastAsia="宋体" w:cs="宋体"/>
                <w:bCs/>
                <w:sz w:val="24"/>
                <w:szCs w:val="24"/>
              </w:rPr>
            </w:pPr>
            <w:r>
              <w:rPr>
                <w:rFonts w:hint="eastAsia" w:ascii="宋体" w:hAnsi="宋体" w:eastAsia="宋体" w:cs="宋体"/>
                <w:bCs/>
                <w:sz w:val="24"/>
                <w:szCs w:val="24"/>
              </w:rPr>
              <w:t xml:space="preserve"> 1.供应商在本项目使用任何产品和服务(包括部分使用)时，不会产生因第三方提出侵犯其专利权、商标权、著作权或其它知识产权而引起的法律和经济纠纷，如因专利权、商标权、著作权或其它知识产权而引起法律和经济纠纷，由供应商承担所有相关责任。</w:t>
            </w:r>
          </w:p>
          <w:p w14:paraId="25950CBD">
            <w:pPr>
              <w:spacing w:line="360" w:lineRule="auto"/>
              <w:rPr>
                <w:rFonts w:hint="eastAsia" w:ascii="宋体" w:hAnsi="宋体" w:eastAsia="宋体" w:cs="宋体"/>
                <w:bCs/>
                <w:sz w:val="24"/>
                <w:szCs w:val="24"/>
              </w:rPr>
            </w:pPr>
            <w:r>
              <w:rPr>
                <w:rFonts w:hint="eastAsia" w:ascii="宋体" w:hAnsi="宋体" w:eastAsia="宋体" w:cs="宋体"/>
                <w:bCs/>
                <w:sz w:val="24"/>
                <w:szCs w:val="24"/>
              </w:rPr>
              <w:t>2.采购人享有本项目实施过程中产生的知识成果及知识产权，并依据实际情况对采购标的涉及的知识产权的进行处理。</w:t>
            </w:r>
          </w:p>
          <w:p w14:paraId="43BDAB6E">
            <w:pPr>
              <w:spacing w:line="360" w:lineRule="auto"/>
              <w:rPr>
                <w:rFonts w:hint="eastAsia" w:ascii="宋体" w:hAnsi="宋体" w:eastAsia="宋体" w:cs="宋体"/>
                <w:bCs/>
                <w:sz w:val="24"/>
                <w:szCs w:val="24"/>
              </w:rPr>
            </w:pPr>
            <w:r>
              <w:rPr>
                <w:rFonts w:hint="eastAsia" w:ascii="宋体" w:hAnsi="宋体" w:eastAsia="宋体" w:cs="宋体"/>
                <w:bCs/>
                <w:sz w:val="24"/>
                <w:szCs w:val="24"/>
              </w:rPr>
              <w:t>3.供应商如欲在项目实施过程中采用自有知识成果，需在响应文件中声明，并提供相关知识产权证明文件。使用该知识成果后，供应商需提供相关技术文档，并承诺提供无限期技术支持，采购人享有永久使用权。</w:t>
            </w:r>
          </w:p>
          <w:p w14:paraId="54A3973D">
            <w:pPr>
              <w:spacing w:line="360" w:lineRule="auto"/>
              <w:rPr>
                <w:rFonts w:hint="eastAsia" w:ascii="宋体" w:hAnsi="宋体" w:cs="宋体"/>
                <w:bCs/>
                <w:sz w:val="24"/>
                <w:szCs w:val="24"/>
                <w:lang w:val="en-US" w:eastAsia="zh-CN"/>
              </w:rPr>
            </w:pPr>
            <w:r>
              <w:rPr>
                <w:rFonts w:hint="eastAsia" w:ascii="宋体" w:hAnsi="宋体" w:eastAsia="宋体" w:cs="宋体"/>
                <w:bCs/>
                <w:sz w:val="24"/>
                <w:szCs w:val="24"/>
              </w:rPr>
              <w:t>4.如采用供应商所不拥有的知识产权，则在报价中必须包括合法获取该知识产权的相关费用。</w:t>
            </w:r>
          </w:p>
        </w:tc>
      </w:tr>
      <w:tr w14:paraId="46C38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1" w:hRule="atLeast"/>
        </w:trPr>
        <w:tc>
          <w:tcPr>
            <w:tcW w:w="1197" w:type="pct"/>
            <w:tcBorders>
              <w:left w:val="single" w:color="auto" w:sz="12" w:space="0"/>
            </w:tcBorders>
            <w:vAlign w:val="center"/>
          </w:tcPr>
          <w:p w14:paraId="22504885">
            <w:pPr>
              <w:spacing w:line="360" w:lineRule="auto"/>
              <w:jc w:val="center"/>
              <w:rPr>
                <w:rFonts w:hint="eastAsia" w:ascii="宋体" w:hAnsi="宋体" w:cs="宋体"/>
                <w:kern w:val="0"/>
                <w:sz w:val="24"/>
                <w:szCs w:val="24"/>
              </w:rPr>
            </w:pPr>
          </w:p>
          <w:p w14:paraId="0E6A8B4F">
            <w:pPr>
              <w:spacing w:line="360" w:lineRule="auto"/>
              <w:jc w:val="center"/>
              <w:rPr>
                <w:rFonts w:ascii="宋体" w:hAnsi="宋体" w:cs="宋体"/>
                <w:kern w:val="0"/>
                <w:sz w:val="24"/>
                <w:szCs w:val="24"/>
              </w:rPr>
            </w:pPr>
            <w:r>
              <w:rPr>
                <w:rFonts w:hint="eastAsia" w:ascii="宋体" w:hAnsi="宋体" w:cs="宋体"/>
                <w:kern w:val="0"/>
                <w:sz w:val="24"/>
                <w:szCs w:val="24"/>
              </w:rPr>
              <w:t>交货及验收</w:t>
            </w:r>
          </w:p>
          <w:p w14:paraId="15B5FC8C">
            <w:pPr>
              <w:spacing w:line="360" w:lineRule="auto"/>
              <w:jc w:val="center"/>
              <w:rPr>
                <w:rFonts w:ascii="宋体" w:hAnsi="宋体" w:cs="宋体"/>
                <w:b/>
                <w:sz w:val="24"/>
                <w:szCs w:val="24"/>
              </w:rPr>
            </w:pPr>
          </w:p>
        </w:tc>
        <w:tc>
          <w:tcPr>
            <w:tcW w:w="3802" w:type="pct"/>
            <w:tcBorders>
              <w:right w:val="single" w:color="auto" w:sz="12" w:space="0"/>
            </w:tcBorders>
            <w:vAlign w:val="center"/>
          </w:tcPr>
          <w:p w14:paraId="2954907C">
            <w:pPr>
              <w:spacing w:line="360" w:lineRule="auto"/>
              <w:rPr>
                <w:rFonts w:hint="eastAsia" w:ascii="宋体" w:hAnsi="宋体" w:eastAsia="宋体" w:cs="宋体"/>
                <w:bCs/>
                <w:sz w:val="24"/>
                <w:szCs w:val="24"/>
              </w:rPr>
            </w:pPr>
            <w:r>
              <w:rPr>
                <w:rFonts w:hint="eastAsia" w:ascii="宋体" w:hAnsi="宋体" w:eastAsia="宋体" w:cs="宋体"/>
                <w:bCs/>
                <w:sz w:val="24"/>
                <w:szCs w:val="24"/>
              </w:rPr>
              <w:t xml:space="preserve">验收标准 </w:t>
            </w:r>
          </w:p>
          <w:p w14:paraId="0970822D">
            <w:pPr>
              <w:spacing w:line="360" w:lineRule="auto"/>
              <w:rPr>
                <w:rFonts w:hint="eastAsia" w:ascii="宋体" w:hAnsi="宋体" w:eastAsia="宋体" w:cs="宋体"/>
                <w:bCs/>
                <w:sz w:val="24"/>
                <w:szCs w:val="24"/>
              </w:rPr>
            </w:pPr>
            <w:r>
              <w:rPr>
                <w:rFonts w:hint="eastAsia" w:ascii="宋体" w:hAnsi="宋体" w:eastAsia="宋体" w:cs="宋体"/>
                <w:bCs/>
                <w:sz w:val="24"/>
                <w:szCs w:val="24"/>
              </w:rPr>
              <w:t xml:space="preserve">（1）到货验收：货物送至采购人安装现场后，成交供应商和采购人一同拆箱，对其全部货物、零件、配件的型号、规格、数量、外型、外观、包装进行到货验收。成交供应商负责在项目验收时将系统的全部有关技术文件、资料、及安装、测试报告等文档汇集成册交付项目单位。 </w:t>
            </w:r>
          </w:p>
          <w:p w14:paraId="1C463C0E">
            <w:pPr>
              <w:spacing w:line="360" w:lineRule="auto"/>
              <w:rPr>
                <w:rFonts w:hint="eastAsia" w:ascii="宋体" w:hAnsi="宋体" w:eastAsia="宋体" w:cs="宋体"/>
                <w:bCs/>
                <w:sz w:val="24"/>
                <w:szCs w:val="24"/>
              </w:rPr>
            </w:pPr>
            <w:r>
              <w:rPr>
                <w:rFonts w:hint="eastAsia" w:ascii="宋体" w:hAnsi="宋体" w:eastAsia="宋体" w:cs="宋体"/>
                <w:bCs/>
                <w:sz w:val="24"/>
                <w:szCs w:val="24"/>
              </w:rPr>
              <w:t xml:space="preserve">（2）最终验收：采购人将按照政府采购合同规定的技术、服务、安全标准组织验收，并出具验收书。验收书应当包括每一项技术、服务、安全标准的履约情况。验收结果经双方确认后，双方代表必须按规定的验收交接单上的项目对照本合同填好验收结果并签名盖章。验收过程中，若发现货物质量有问题成交供应商无条件免费更换，并无条件重新检测并调试直至验收合格交付使用。 </w:t>
            </w:r>
          </w:p>
          <w:p w14:paraId="794BF62A">
            <w:pPr>
              <w:spacing w:line="360" w:lineRule="auto"/>
              <w:rPr>
                <w:rFonts w:hint="eastAsia" w:ascii="宋体" w:hAnsi="宋体" w:eastAsia="宋体" w:cs="宋体"/>
                <w:bCs/>
                <w:sz w:val="24"/>
                <w:szCs w:val="24"/>
              </w:rPr>
            </w:pPr>
            <w:r>
              <w:rPr>
                <w:rFonts w:hint="eastAsia" w:ascii="宋体" w:hAnsi="宋体" w:eastAsia="宋体" w:cs="宋体"/>
                <w:bCs/>
                <w:sz w:val="24"/>
                <w:szCs w:val="24"/>
              </w:rPr>
              <w:t xml:space="preserve">（3）在此期间，成交供应商在采购人现场进行安装、调试、集成、试运行直至验收所发生的一切费用由成交供应商承担且已含在总价中。 </w:t>
            </w:r>
          </w:p>
          <w:p w14:paraId="5B18E83A">
            <w:pPr>
              <w:spacing w:line="360" w:lineRule="auto"/>
              <w:rPr>
                <w:rFonts w:hint="eastAsia" w:ascii="宋体" w:hAnsi="宋体" w:eastAsia="宋体" w:cs="宋体"/>
                <w:bCs/>
                <w:sz w:val="24"/>
                <w:szCs w:val="24"/>
              </w:rPr>
            </w:pPr>
            <w:r>
              <w:rPr>
                <w:rFonts w:hint="eastAsia" w:ascii="宋体" w:hAnsi="宋体" w:eastAsia="宋体" w:cs="宋体"/>
                <w:bCs/>
                <w:sz w:val="24"/>
                <w:szCs w:val="24"/>
              </w:rPr>
              <w:t xml:space="preserve">3.2验收程序和方法 </w:t>
            </w:r>
          </w:p>
          <w:p w14:paraId="7893F542">
            <w:pPr>
              <w:spacing w:line="360" w:lineRule="auto"/>
              <w:rPr>
                <w:rFonts w:hint="eastAsia" w:ascii="宋体" w:hAnsi="宋体" w:eastAsia="宋体" w:cs="宋体"/>
                <w:bCs/>
                <w:sz w:val="24"/>
                <w:szCs w:val="24"/>
              </w:rPr>
            </w:pPr>
            <w:r>
              <w:rPr>
                <w:rFonts w:hint="eastAsia" w:ascii="宋体" w:hAnsi="宋体" w:eastAsia="宋体" w:cs="宋体"/>
                <w:bCs/>
                <w:sz w:val="24"/>
                <w:szCs w:val="24"/>
              </w:rPr>
              <w:t xml:space="preserve">（1）成交供应商自检 </w:t>
            </w:r>
          </w:p>
          <w:p w14:paraId="26FCA483">
            <w:pPr>
              <w:spacing w:line="360" w:lineRule="auto"/>
              <w:rPr>
                <w:rFonts w:hint="eastAsia" w:ascii="宋体" w:hAnsi="宋体" w:eastAsia="宋体" w:cs="宋体"/>
                <w:bCs/>
                <w:sz w:val="24"/>
                <w:szCs w:val="24"/>
              </w:rPr>
            </w:pPr>
            <w:r>
              <w:rPr>
                <w:rFonts w:hint="eastAsia" w:ascii="宋体" w:hAnsi="宋体" w:eastAsia="宋体" w:cs="宋体"/>
                <w:bCs/>
                <w:sz w:val="24"/>
                <w:szCs w:val="24"/>
              </w:rPr>
              <w:t xml:space="preserve">货物在采购人指定地点安装完毕后，要求成交供应商对所有货物的性能进行自检，检验结果必须符合采购文件、响应文件技术要求以及合同中相关条款要求，同时向采购人提供自检记录。 </w:t>
            </w:r>
          </w:p>
          <w:p w14:paraId="6403B996">
            <w:pPr>
              <w:spacing w:line="360" w:lineRule="auto"/>
              <w:rPr>
                <w:rFonts w:hint="eastAsia" w:ascii="宋体" w:hAnsi="宋体" w:eastAsia="宋体" w:cs="宋体"/>
                <w:bCs/>
                <w:sz w:val="24"/>
                <w:szCs w:val="24"/>
              </w:rPr>
            </w:pPr>
            <w:r>
              <w:rPr>
                <w:rFonts w:hint="eastAsia" w:ascii="宋体" w:hAnsi="宋体" w:eastAsia="宋体" w:cs="宋体"/>
                <w:bCs/>
                <w:sz w:val="24"/>
                <w:szCs w:val="24"/>
              </w:rPr>
              <w:t xml:space="preserve">（2）验收与最终验收 </w:t>
            </w:r>
          </w:p>
          <w:p w14:paraId="32939794">
            <w:pPr>
              <w:spacing w:line="360" w:lineRule="auto"/>
              <w:rPr>
                <w:rFonts w:hint="eastAsia" w:ascii="宋体" w:hAnsi="宋体" w:eastAsia="宋体" w:cs="宋体"/>
                <w:bCs/>
                <w:sz w:val="24"/>
                <w:szCs w:val="24"/>
              </w:rPr>
            </w:pPr>
            <w:r>
              <w:rPr>
                <w:rFonts w:hint="eastAsia" w:ascii="宋体" w:hAnsi="宋体" w:eastAsia="宋体" w:cs="宋体"/>
                <w:bCs/>
                <w:sz w:val="24"/>
                <w:szCs w:val="24"/>
              </w:rPr>
              <w:t xml:space="preserve">成交供应商自检后，采购人与有关管理部门按采购文件以及合同相关条款要求一同对货物进行验收，同时采购人有权委托国家具有检验资质的相关部门、单位、机构对中标产品的质量、性能进行检验，验收结果应符合采购文件、响应文件及采购人的使用要求。在此期间，若发现货物参数与采购文件、响应文件不一致，成交供应商将被取消中标资格；若发现货物质量有问题，成交供应商应按采购人规定的时间无条件免费更换，并无条件重新检测并调试直至验收合格交付使用。 </w:t>
            </w:r>
          </w:p>
          <w:p w14:paraId="363D75EC">
            <w:pPr>
              <w:spacing w:line="360" w:lineRule="auto"/>
              <w:rPr>
                <w:rFonts w:hint="eastAsia" w:ascii="宋体" w:hAnsi="宋体" w:eastAsia="宋体" w:cs="宋体"/>
                <w:bCs/>
                <w:sz w:val="24"/>
                <w:szCs w:val="24"/>
              </w:rPr>
            </w:pPr>
            <w:r>
              <w:rPr>
                <w:rFonts w:hint="eastAsia" w:ascii="宋体" w:hAnsi="宋体" w:eastAsia="宋体" w:cs="宋体"/>
                <w:bCs/>
                <w:sz w:val="24"/>
                <w:szCs w:val="24"/>
              </w:rPr>
              <w:t xml:space="preserve">3.3验收费用 </w:t>
            </w:r>
          </w:p>
          <w:p w14:paraId="06C4382C">
            <w:pPr>
              <w:spacing w:line="360" w:lineRule="auto"/>
              <w:rPr>
                <w:rFonts w:hint="eastAsia" w:ascii="宋体" w:hAnsi="宋体" w:eastAsia="宋体" w:cs="宋体"/>
                <w:bCs/>
                <w:sz w:val="24"/>
                <w:szCs w:val="24"/>
              </w:rPr>
            </w:pPr>
            <w:r>
              <w:rPr>
                <w:rFonts w:hint="eastAsia" w:ascii="宋体" w:hAnsi="宋体" w:eastAsia="宋体" w:cs="宋体"/>
                <w:bCs/>
                <w:sz w:val="24"/>
                <w:szCs w:val="24"/>
              </w:rPr>
              <w:t xml:space="preserve">在对货物设备进行安装、调试、试运行、直至现场进行最终验收所发生的一切费用均由成交供应商承担且已含在总价中。 </w:t>
            </w:r>
          </w:p>
          <w:p w14:paraId="54AE12C6">
            <w:pPr>
              <w:spacing w:line="360" w:lineRule="auto"/>
              <w:rPr>
                <w:rFonts w:hint="eastAsia" w:ascii="宋体" w:hAnsi="宋体" w:cs="宋体"/>
                <w:bCs/>
                <w:sz w:val="24"/>
                <w:szCs w:val="24"/>
                <w:lang w:val="en-US" w:eastAsia="zh-CN"/>
              </w:rPr>
            </w:pPr>
            <w:r>
              <w:rPr>
                <w:rFonts w:hint="eastAsia" w:ascii="宋体" w:hAnsi="宋体" w:eastAsia="宋体" w:cs="宋体"/>
                <w:bCs/>
                <w:sz w:val="24"/>
                <w:szCs w:val="24"/>
              </w:rPr>
              <w:t xml:space="preserve">3.4验收时成交供应商必须派代表参加。 </w:t>
            </w:r>
          </w:p>
        </w:tc>
      </w:tr>
      <w:tr w14:paraId="2070E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3" w:hRule="atLeast"/>
        </w:trPr>
        <w:tc>
          <w:tcPr>
            <w:tcW w:w="1197" w:type="pct"/>
            <w:tcBorders>
              <w:left w:val="single" w:color="auto" w:sz="12" w:space="0"/>
            </w:tcBorders>
            <w:vAlign w:val="center"/>
          </w:tcPr>
          <w:p w14:paraId="3B1EB48A">
            <w:pPr>
              <w:spacing w:line="360" w:lineRule="auto"/>
              <w:jc w:val="center"/>
              <w:rPr>
                <w:rFonts w:hint="eastAsia" w:ascii="宋体" w:hAnsi="宋体" w:eastAsia="宋体" w:cs="宋体"/>
                <w:b/>
                <w:sz w:val="24"/>
                <w:szCs w:val="24"/>
                <w:lang w:eastAsia="zh-CN"/>
              </w:rPr>
            </w:pPr>
            <w:r>
              <w:rPr>
                <w:rFonts w:hint="eastAsia" w:ascii="宋体" w:hAnsi="宋体" w:cs="宋体"/>
                <w:b w:val="0"/>
                <w:bCs/>
                <w:sz w:val="24"/>
                <w:szCs w:val="24"/>
                <w:lang w:eastAsia="zh-CN"/>
              </w:rPr>
              <w:t>备注</w:t>
            </w:r>
          </w:p>
        </w:tc>
        <w:tc>
          <w:tcPr>
            <w:tcW w:w="3802" w:type="pct"/>
            <w:tcBorders>
              <w:right w:val="single" w:color="auto" w:sz="12" w:space="0"/>
            </w:tcBorders>
            <w:vAlign w:val="center"/>
          </w:tcPr>
          <w:p w14:paraId="2560AE3A">
            <w:pPr>
              <w:widowControl w:val="0"/>
              <w:numPr>
                <w:ilvl w:val="0"/>
                <w:numId w:val="0"/>
              </w:numPr>
              <w:spacing w:before="9" w:after="120" w:line="360" w:lineRule="auto"/>
              <w:ind w:right="308" w:rightChars="0"/>
              <w:jc w:val="both"/>
              <w:rPr>
                <w:rFonts w:ascii="宋体" w:hAnsi="宋体" w:eastAsia="宋体" w:cs="宋体"/>
                <w:kern w:val="0"/>
                <w:sz w:val="24"/>
                <w:szCs w:val="24"/>
                <w:highlight w:val="none"/>
                <w:lang w:val="en-US" w:eastAsia="zh-CN" w:bidi="ar-SA"/>
              </w:rPr>
            </w:pPr>
          </w:p>
        </w:tc>
      </w:tr>
    </w:tbl>
    <w:p w14:paraId="6B0D5A5B">
      <w:pPr>
        <w:spacing w:line="360" w:lineRule="auto"/>
        <w:rPr>
          <w:rFonts w:ascii="宋体" w:hAnsi="宋体" w:cs="宋体"/>
          <w:b/>
          <w:bCs/>
          <w:sz w:val="32"/>
        </w:rPr>
      </w:pPr>
      <w:r>
        <w:rPr>
          <w:rFonts w:hint="eastAsia" w:ascii="宋体" w:hAnsi="宋体" w:cs="宋体"/>
          <w:b/>
          <w:bCs/>
          <w:color w:val="000000"/>
          <w:sz w:val="24"/>
          <w:szCs w:val="24"/>
        </w:rPr>
        <w:t>注：以上要求均为实质性条款，供应商须完全满足或优于以上商务要求；否则视为无效响应。</w:t>
      </w:r>
    </w:p>
    <w:p w14:paraId="5B396FC2"/>
    <w:sectPr>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仿宋_GB2312">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012710">
    <w:pPr>
      <w:widowControl w:val="0"/>
      <w:tabs>
        <w:tab w:val="center" w:pos="4153"/>
        <w:tab w:val="right" w:pos="8306"/>
      </w:tabs>
      <w:snapToGrid w:val="0"/>
      <w:jc w:val="center"/>
      <w:rPr>
        <w:rFonts w:hint="default" w:ascii="Times New Roman" w:hAnsi="Times New Roman" w:eastAsia="宋体" w:cs="Times New Roman"/>
        <w:kern w:val="2"/>
        <w:sz w:val="18"/>
        <w:lang w:val="en-US" w:eastAsia="zh-CN" w:bidi="ar-SA"/>
      </w:rPr>
    </w:pPr>
    <w:r>
      <w:rPr>
        <w:rFonts w:ascii="Times New Roman" w:hAnsi="Times New Roman" w:eastAsia="宋体" w:cs="Times New Roman"/>
        <w:kern w:val="2"/>
        <w:sz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FE603AD">
                          <w:pPr>
                            <w:widowControl w:val="0"/>
                            <w:tabs>
                              <w:tab w:val="center" w:pos="4153"/>
                              <w:tab w:val="right" w:pos="8306"/>
                            </w:tabs>
                            <w:snapToGrid w:val="0"/>
                            <w:jc w:val="left"/>
                            <w:rPr>
                              <w:rFonts w:ascii="Times New Roman" w:hAnsi="Times New Roman" w:eastAsia="宋体" w:cs="Times New Roman"/>
                              <w:kern w:val="2"/>
                              <w:sz w:val="18"/>
                              <w:lang w:val="en-US" w:eastAsia="zh-CN" w:bidi="ar-SA"/>
                            </w:rPr>
                          </w:pPr>
                          <w:r>
                            <w:rPr>
                              <w:rFonts w:ascii="Times New Roman" w:hAnsi="Times New Roman" w:eastAsia="宋体" w:cs="Times New Roman"/>
                              <w:kern w:val="2"/>
                              <w:sz w:val="18"/>
                              <w:lang w:val="en-US" w:eastAsia="zh-CN" w:bidi="ar-SA"/>
                            </w:rPr>
                            <w:fldChar w:fldCharType="begin"/>
                          </w:r>
                          <w:r>
                            <w:rPr>
                              <w:rFonts w:ascii="Times New Roman" w:hAnsi="Times New Roman" w:eastAsia="宋体" w:cs="Times New Roman"/>
                              <w:kern w:val="2"/>
                              <w:sz w:val="18"/>
                              <w:lang w:val="en-US" w:eastAsia="zh-CN" w:bidi="ar-SA"/>
                            </w:rPr>
                            <w:instrText xml:space="preserve"> PAGE  \* MERGEFORMAT </w:instrText>
                          </w:r>
                          <w:r>
                            <w:rPr>
                              <w:rFonts w:ascii="Times New Roman" w:hAnsi="Times New Roman" w:eastAsia="宋体" w:cs="Times New Roman"/>
                              <w:kern w:val="2"/>
                              <w:sz w:val="18"/>
                              <w:lang w:val="en-US" w:eastAsia="zh-CN" w:bidi="ar-SA"/>
                            </w:rPr>
                            <w:fldChar w:fldCharType="separate"/>
                          </w:r>
                          <w:r>
                            <w:rPr>
                              <w:rFonts w:ascii="Times New Roman" w:hAnsi="Times New Roman" w:eastAsia="宋体" w:cs="Times New Roman"/>
                              <w:kern w:val="2"/>
                              <w:sz w:val="18"/>
                              <w:lang w:val="en-US" w:eastAsia="zh-CN" w:bidi="ar-SA"/>
                            </w:rPr>
                            <w:t>3</w:t>
                          </w:r>
                          <w:r>
                            <w:rPr>
                              <w:rFonts w:ascii="Times New Roman" w:hAnsi="Times New Roman" w:eastAsia="宋体" w:cs="Times New Roman"/>
                              <w:kern w:val="2"/>
                              <w:sz w:val="18"/>
                              <w:lang w:val="en-US" w:eastAsia="zh-CN" w:bidi="ar-S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upMyU4AgAAbwQAAA4AAABkcnMvZTJvRG9jLnhtbK1UzY7TMBC+I/EO&#10;lu80aRG7Vd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e6kzJTgCAABvBAAADgAAAAAAAAABACAAAAAfAQAAZHJzL2Uyb0RvYy54&#10;bWxQSwUGAAAAAAYABgBZAQAAyQUAAAAA&#10;">
              <v:fill on="f" focussize="0,0"/>
              <v:stroke on="f" weight="0.5pt"/>
              <v:imagedata o:title=""/>
              <o:lock v:ext="edit" aspectratio="f"/>
              <v:textbox inset="0mm,0mm,0mm,0mm" style="mso-fit-shape-to-text:t;">
                <w:txbxContent>
                  <w:p w14:paraId="2FE603AD">
                    <w:pPr>
                      <w:widowControl w:val="0"/>
                      <w:tabs>
                        <w:tab w:val="center" w:pos="4153"/>
                        <w:tab w:val="right" w:pos="8306"/>
                      </w:tabs>
                      <w:snapToGrid w:val="0"/>
                      <w:jc w:val="left"/>
                      <w:rPr>
                        <w:rFonts w:ascii="Times New Roman" w:hAnsi="Times New Roman" w:eastAsia="宋体" w:cs="Times New Roman"/>
                        <w:kern w:val="2"/>
                        <w:sz w:val="18"/>
                        <w:lang w:val="en-US" w:eastAsia="zh-CN" w:bidi="ar-SA"/>
                      </w:rPr>
                    </w:pPr>
                    <w:r>
                      <w:rPr>
                        <w:rFonts w:ascii="Times New Roman" w:hAnsi="Times New Roman" w:eastAsia="宋体" w:cs="Times New Roman"/>
                        <w:kern w:val="2"/>
                        <w:sz w:val="18"/>
                        <w:lang w:val="en-US" w:eastAsia="zh-CN" w:bidi="ar-SA"/>
                      </w:rPr>
                      <w:fldChar w:fldCharType="begin"/>
                    </w:r>
                    <w:r>
                      <w:rPr>
                        <w:rFonts w:ascii="Times New Roman" w:hAnsi="Times New Roman" w:eastAsia="宋体" w:cs="Times New Roman"/>
                        <w:kern w:val="2"/>
                        <w:sz w:val="18"/>
                        <w:lang w:val="en-US" w:eastAsia="zh-CN" w:bidi="ar-SA"/>
                      </w:rPr>
                      <w:instrText xml:space="preserve"> PAGE  \* MERGEFORMAT </w:instrText>
                    </w:r>
                    <w:r>
                      <w:rPr>
                        <w:rFonts w:ascii="Times New Roman" w:hAnsi="Times New Roman" w:eastAsia="宋体" w:cs="Times New Roman"/>
                        <w:kern w:val="2"/>
                        <w:sz w:val="18"/>
                        <w:lang w:val="en-US" w:eastAsia="zh-CN" w:bidi="ar-SA"/>
                      </w:rPr>
                      <w:fldChar w:fldCharType="separate"/>
                    </w:r>
                    <w:r>
                      <w:rPr>
                        <w:rFonts w:ascii="Times New Roman" w:hAnsi="Times New Roman" w:eastAsia="宋体" w:cs="Times New Roman"/>
                        <w:kern w:val="2"/>
                        <w:sz w:val="18"/>
                        <w:lang w:val="en-US" w:eastAsia="zh-CN" w:bidi="ar-SA"/>
                      </w:rPr>
                      <w:t>3</w:t>
                    </w:r>
                    <w:r>
                      <w:rPr>
                        <w:rFonts w:ascii="Times New Roman" w:hAnsi="Times New Roman" w:eastAsia="宋体" w:cs="Times New Roman"/>
                        <w:kern w:val="2"/>
                        <w:sz w:val="18"/>
                        <w:lang w:val="en-US" w:eastAsia="zh-CN" w:bidi="ar-S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126F6C">
    <w:pPr>
      <w:pStyle w:val="5"/>
      <w:jc w:val="center"/>
      <w:rPr>
        <w:rFonts w:hint="default" w:eastAsia="宋体"/>
        <w:lang w:val="en-US"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5556D1">
                          <w:pPr>
                            <w:pStyle w:val="5"/>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695556D1">
                    <w:pPr>
                      <w:pStyle w:val="5"/>
                    </w:pPr>
                    <w:r>
                      <w:fldChar w:fldCharType="begin"/>
                    </w:r>
                    <w:r>
                      <w:instrText xml:space="preserve"> PAGE  \* MERGEFORMAT </w:instrText>
                    </w:r>
                    <w:r>
                      <w:fldChar w:fldCharType="separate"/>
                    </w:r>
                    <w:r>
                      <w:t>3</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B6B049"/>
    <w:multiLevelType w:val="singleLevel"/>
    <w:tmpl w:val="C0B6B049"/>
    <w:lvl w:ilvl="0" w:tentative="0">
      <w:start w:val="1"/>
      <w:numFmt w:val="chineseCounting"/>
      <w:suff w:val="nothing"/>
      <w:lvlText w:val="%1、"/>
      <w:lvlJc w:val="left"/>
      <w:pPr>
        <w:ind w:left="-13"/>
      </w:pPr>
      <w:rPr>
        <w:rFonts w:hint="eastAsia"/>
      </w:rPr>
    </w:lvl>
  </w:abstractNum>
  <w:abstractNum w:abstractNumId="1">
    <w:nsid w:val="C4C01023"/>
    <w:multiLevelType w:val="singleLevel"/>
    <w:tmpl w:val="C4C01023"/>
    <w:lvl w:ilvl="0" w:tentative="0">
      <w:start w:val="8"/>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98E73AD"/>
    <w:rsid w:val="198E73AD"/>
    <w:rsid w:val="5E0D665D"/>
    <w:rsid w:val="611723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qFormat/>
    <w:uiPriority w:val="0"/>
    <w:pPr>
      <w:keepNext/>
      <w:outlineLvl w:val="0"/>
    </w:pPr>
    <w:rPr>
      <w:rFonts w:ascii="宋体"/>
      <w:sz w:val="28"/>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5">
    <w:name w:val="footer"/>
    <w:basedOn w:val="1"/>
    <w:qFormat/>
    <w:uiPriority w:val="0"/>
    <w:pPr>
      <w:tabs>
        <w:tab w:val="center" w:pos="4153"/>
        <w:tab w:val="right" w:pos="8306"/>
      </w:tabs>
      <w:snapToGrid w:val="0"/>
      <w:jc w:val="left"/>
    </w:pPr>
    <w:rPr>
      <w:sz w:val="18"/>
    </w:rPr>
  </w:style>
  <w:style w:type="paragraph" w:customStyle="1" w:styleId="8">
    <w:name w:val="样式 样式 左侧:  2 字符 + 左侧:  0.85 厘米 首行缩进:  2 字符1"/>
    <w:basedOn w:val="1"/>
    <w:qFormat/>
    <w:uiPriority w:val="0"/>
    <w:pPr>
      <w:ind w:left="482" w:firstLine="20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3324</Words>
  <Characters>3941</Characters>
  <Lines>0</Lines>
  <Paragraphs>0</Paragraphs>
  <TotalTime>2</TotalTime>
  <ScaleCrop>false</ScaleCrop>
  <LinksUpToDate>false</LinksUpToDate>
  <CharactersWithSpaces>4107</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2025-03-31T03:38:00Z</dcterms:created>
  <dc:creator>Administrator</dc:creator>
  <cp:lastModifiedBy>袁鹏</cp:lastModifiedBy>
  <dcterms:modified xsi:type="dcterms:W3CDTF">2025-03-31T06:50:20Z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880D975A54594C77AA8FC45FF293A640_13</vt:lpwstr>
  </property>
  <property fmtid="{D5CDD505-2E9C-101B-9397-08002B2CF9AE}" pid="4" name="KSOTemplateDocerSaveRecord">
    <vt:lpwstr>eyJoZGlkIjoiNmFkNWRhNDdjYzhhODhkODdiMWNiMmJmMDhhMDliOGYiLCJ1c2VySWQiOiIxMjA3NjM2NjU3In0=</vt:lpwstr>
  </property>
</Properties>
</file>